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38150B1" w14:textId="161D9147" w:rsidR="00E84692" w:rsidRPr="00F806EF" w:rsidRDefault="0043216B">
      <w:pPr>
        <w:overflowPunct w:val="0"/>
        <w:autoSpaceDE w:val="0"/>
        <w:autoSpaceDN w:val="0"/>
        <w:adjustRightInd w:val="0"/>
        <w:snapToGrid w:val="0"/>
        <w:spacing w:before="156"/>
        <w:jc w:val="left"/>
        <w:textAlignment w:val="baseline"/>
        <w:rPr>
          <w:rFonts w:cs="Arial"/>
          <w:b/>
          <w:bCs/>
          <w:kern w:val="0"/>
          <w:sz w:val="28"/>
        </w:rPr>
      </w:pPr>
      <w:r w:rsidRPr="00F806EF">
        <w:rPr>
          <w:rFonts w:cs="Arial"/>
          <w:b/>
          <w:bCs/>
          <w:kern w:val="0"/>
          <w:sz w:val="28"/>
          <w:lang w:val="en-GB"/>
        </w:rPr>
        <w:t>3GPP TSG-RAN WG2 Meeting #</w:t>
      </w:r>
      <w:r w:rsidR="00864683" w:rsidRPr="00F806EF">
        <w:rPr>
          <w:rFonts w:cs="Arial" w:hint="eastAsia"/>
          <w:b/>
          <w:bCs/>
          <w:kern w:val="0"/>
          <w:sz w:val="28"/>
        </w:rPr>
        <w:t>1</w:t>
      </w:r>
      <w:r w:rsidR="00864683" w:rsidRPr="00F806EF">
        <w:rPr>
          <w:rFonts w:cs="Arial"/>
          <w:b/>
          <w:bCs/>
          <w:kern w:val="0"/>
          <w:sz w:val="28"/>
        </w:rPr>
        <w:t>1</w:t>
      </w:r>
      <w:r w:rsidR="002671E3" w:rsidRPr="00F806EF">
        <w:rPr>
          <w:rFonts w:cs="Arial"/>
          <w:b/>
          <w:bCs/>
          <w:kern w:val="0"/>
          <w:sz w:val="28"/>
        </w:rPr>
        <w:t>6</w:t>
      </w:r>
      <w:r w:rsidR="00E252F3" w:rsidRPr="00F806EF">
        <w:rPr>
          <w:rFonts w:cs="Arial"/>
          <w:b/>
          <w:bCs/>
          <w:kern w:val="0"/>
          <w:sz w:val="28"/>
        </w:rPr>
        <w:t xml:space="preserve">e         </w:t>
      </w:r>
      <w:r w:rsidR="005C0AB5" w:rsidRPr="00F806EF">
        <w:rPr>
          <w:rFonts w:cs="Arial"/>
          <w:b/>
          <w:bCs/>
          <w:kern w:val="0"/>
          <w:sz w:val="28"/>
        </w:rPr>
        <w:t xml:space="preserve"> </w:t>
      </w:r>
      <w:r w:rsidR="00E252F3" w:rsidRPr="00F806EF">
        <w:rPr>
          <w:rFonts w:cs="Arial"/>
          <w:b/>
          <w:bCs/>
          <w:kern w:val="0"/>
          <w:sz w:val="28"/>
        </w:rPr>
        <w:t xml:space="preserve"> </w:t>
      </w:r>
      <w:r w:rsidRPr="00F806EF">
        <w:rPr>
          <w:rFonts w:cs="Arial" w:hint="eastAsia"/>
          <w:b/>
          <w:bCs/>
          <w:kern w:val="0"/>
          <w:sz w:val="28"/>
        </w:rPr>
        <w:t xml:space="preserve">  </w:t>
      </w:r>
      <w:r w:rsidR="00F806EF">
        <w:rPr>
          <w:rFonts w:cs="Arial"/>
          <w:b/>
          <w:bCs/>
          <w:kern w:val="0"/>
          <w:sz w:val="28"/>
        </w:rPr>
        <w:t xml:space="preserve">           </w:t>
      </w:r>
      <w:r w:rsidRPr="00F806EF">
        <w:rPr>
          <w:rFonts w:cs="Arial" w:hint="eastAsia"/>
          <w:b/>
          <w:bCs/>
          <w:kern w:val="0"/>
          <w:sz w:val="28"/>
        </w:rPr>
        <w:t xml:space="preserve"> </w:t>
      </w:r>
      <w:r w:rsidR="00E252F3" w:rsidRPr="00F806EF">
        <w:rPr>
          <w:rFonts w:cs="Arial"/>
          <w:b/>
          <w:bCs/>
          <w:kern w:val="0"/>
          <w:sz w:val="28"/>
        </w:rPr>
        <w:t>R2-21</w:t>
      </w:r>
      <w:r w:rsidR="00F806EF" w:rsidRPr="00F806EF">
        <w:rPr>
          <w:rFonts w:cs="Arial"/>
          <w:b/>
          <w:bCs/>
          <w:kern w:val="0"/>
          <w:sz w:val="28"/>
        </w:rPr>
        <w:t>09889</w:t>
      </w:r>
    </w:p>
    <w:p w14:paraId="13013E51" w14:textId="7ACF772B" w:rsidR="00E84692" w:rsidRPr="00F806EF" w:rsidRDefault="0043216B">
      <w:pPr>
        <w:overflowPunct w:val="0"/>
        <w:autoSpaceDE w:val="0"/>
        <w:autoSpaceDN w:val="0"/>
        <w:adjustRightInd w:val="0"/>
        <w:snapToGrid w:val="0"/>
        <w:spacing w:before="156"/>
        <w:jc w:val="left"/>
        <w:textAlignment w:val="baseline"/>
        <w:rPr>
          <w:rFonts w:cs="Arial"/>
          <w:b/>
          <w:bCs/>
          <w:kern w:val="0"/>
          <w:sz w:val="28"/>
          <w:lang w:val="en-GB"/>
        </w:rPr>
      </w:pPr>
      <w:r w:rsidRPr="00F806EF">
        <w:rPr>
          <w:rFonts w:cs="Arial"/>
          <w:b/>
          <w:bCs/>
          <w:kern w:val="0"/>
          <w:sz w:val="28"/>
        </w:rPr>
        <w:t>e-meeting</w:t>
      </w:r>
      <w:r w:rsidRPr="00F806EF">
        <w:rPr>
          <w:rFonts w:cs="Arial"/>
          <w:b/>
          <w:bCs/>
          <w:kern w:val="0"/>
          <w:sz w:val="28"/>
          <w:lang w:val="en-GB"/>
        </w:rPr>
        <w:t xml:space="preserve">, </w:t>
      </w:r>
      <w:r w:rsidR="0021350C" w:rsidRPr="00F806EF">
        <w:rPr>
          <w:rFonts w:cs="Arial"/>
          <w:b/>
          <w:bCs/>
          <w:kern w:val="0"/>
          <w:sz w:val="28"/>
          <w:lang w:val="en-GB"/>
        </w:rPr>
        <w:t>1</w:t>
      </w:r>
      <w:r w:rsidR="002671E3" w:rsidRPr="00F806EF">
        <w:rPr>
          <w:rFonts w:cs="Arial"/>
          <w:b/>
          <w:bCs/>
          <w:kern w:val="0"/>
          <w:sz w:val="28"/>
          <w:vertAlign w:val="superscript"/>
        </w:rPr>
        <w:t>st</w:t>
      </w:r>
      <w:r w:rsidRPr="00F806EF">
        <w:rPr>
          <w:rFonts w:cs="Arial"/>
          <w:b/>
          <w:bCs/>
          <w:kern w:val="0"/>
          <w:sz w:val="28"/>
          <w:lang w:val="en-GB"/>
        </w:rPr>
        <w:t xml:space="preserve"> – </w:t>
      </w:r>
      <w:r w:rsidR="002671E3" w:rsidRPr="00F806EF">
        <w:rPr>
          <w:rFonts w:cs="Arial"/>
          <w:b/>
          <w:bCs/>
          <w:kern w:val="0"/>
          <w:sz w:val="28"/>
          <w:lang w:val="en-GB"/>
        </w:rPr>
        <w:t>1</w:t>
      </w:r>
      <w:r w:rsidR="0021350C" w:rsidRPr="00F806EF">
        <w:rPr>
          <w:rFonts w:cs="Arial"/>
          <w:b/>
          <w:bCs/>
          <w:kern w:val="0"/>
          <w:sz w:val="28"/>
        </w:rPr>
        <w:t>2</w:t>
      </w:r>
      <w:r w:rsidRPr="00F806EF">
        <w:rPr>
          <w:rFonts w:cs="Arial"/>
          <w:b/>
          <w:bCs/>
          <w:kern w:val="0"/>
          <w:sz w:val="28"/>
          <w:vertAlign w:val="superscript"/>
        </w:rPr>
        <w:t>th</w:t>
      </w:r>
      <w:r w:rsidRPr="00F806EF">
        <w:rPr>
          <w:rFonts w:cs="Arial"/>
          <w:b/>
          <w:bCs/>
          <w:kern w:val="0"/>
          <w:sz w:val="28"/>
          <w:lang w:val="en-GB"/>
        </w:rPr>
        <w:t xml:space="preserve"> </w:t>
      </w:r>
      <w:r w:rsidR="002A4DB6" w:rsidRPr="00F806EF">
        <w:rPr>
          <w:rFonts w:cs="Arial"/>
          <w:b/>
          <w:bCs/>
          <w:kern w:val="0"/>
          <w:sz w:val="28"/>
        </w:rPr>
        <w:t>November</w:t>
      </w:r>
      <w:r w:rsidRPr="00F806EF">
        <w:rPr>
          <w:rFonts w:cs="Arial" w:hint="eastAsia"/>
          <w:b/>
          <w:bCs/>
          <w:kern w:val="0"/>
          <w:sz w:val="28"/>
          <w:lang w:val="en-GB"/>
        </w:rPr>
        <w:t xml:space="preserve"> 20</w:t>
      </w:r>
      <w:r w:rsidR="0021350C" w:rsidRPr="00F806EF">
        <w:rPr>
          <w:rFonts w:cs="Arial"/>
          <w:b/>
          <w:bCs/>
          <w:kern w:val="0"/>
          <w:sz w:val="28"/>
          <w:lang w:val="en-GB"/>
        </w:rPr>
        <w:t>21</w:t>
      </w:r>
      <w:r w:rsidRPr="00F806EF">
        <w:rPr>
          <w:rFonts w:cs="Arial"/>
          <w:b/>
          <w:bCs/>
          <w:kern w:val="0"/>
          <w:sz w:val="28"/>
          <w:lang w:val="en-GB"/>
        </w:rPr>
        <w:t xml:space="preserve"> </w:t>
      </w:r>
      <w:r w:rsidR="00E252F3" w:rsidRPr="00F806EF">
        <w:rPr>
          <w:rFonts w:cs="Arial"/>
          <w:b/>
          <w:bCs/>
          <w:kern w:val="0"/>
          <w:sz w:val="28"/>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74433476"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FE127C">
        <w:rPr>
          <w:rFonts w:cs="Arial"/>
          <w:b/>
          <w:bCs/>
          <w:snapToGrid w:val="0"/>
          <w:kern w:val="0"/>
          <w:sz w:val="24"/>
        </w:rPr>
        <w:t xml:space="preserve">Discussion on irregular </w:t>
      </w:r>
      <w:r w:rsidR="00114F44">
        <w:rPr>
          <w:rFonts w:cs="Arial"/>
          <w:b/>
          <w:bCs/>
          <w:snapToGrid w:val="0"/>
          <w:kern w:val="0"/>
          <w:sz w:val="24"/>
        </w:rPr>
        <w:t xml:space="preserve">channel </w:t>
      </w:r>
      <w:r w:rsidR="00FE127C">
        <w:rPr>
          <w:rFonts w:cs="Arial"/>
          <w:b/>
          <w:bCs/>
          <w:snapToGrid w:val="0"/>
          <w:kern w:val="0"/>
          <w:sz w:val="24"/>
        </w:rPr>
        <w:t>bandwidths</w:t>
      </w:r>
      <w:r w:rsidR="002671E3">
        <w:rPr>
          <w:rFonts w:cs="Arial"/>
          <w:b/>
          <w:bCs/>
          <w:snapToGrid w:val="0"/>
          <w:kern w:val="0"/>
          <w:sz w:val="24"/>
        </w:rPr>
        <w:t xml:space="preserve"> </w:t>
      </w:r>
    </w:p>
    <w:p w14:paraId="774FE3B4" w14:textId="06C55924"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8413BD">
        <w:rPr>
          <w:rFonts w:cs="Arial"/>
          <w:b/>
          <w:bCs/>
          <w:snapToGrid w:val="0"/>
          <w:kern w:val="0"/>
          <w:sz w:val="24"/>
        </w:rPr>
        <w:t>xxxx</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6FD95C1" w14:textId="6132A9B3" w:rsidR="00EA7131" w:rsidRDefault="00EA7131" w:rsidP="00EA7131">
      <w:pPr>
        <w:spacing w:before="120" w:after="0"/>
      </w:pPr>
      <w:r>
        <w:t>During RAN4#100-e meeting, RAN4 sent an LS to RAN1 and RAN2 on efficient utilization of licensed spectrum that is not aligned with existing NR channel bandwidths [1]. RAN4 asked RAN1 and RAN2 to check the spec impacts for the four potential solutions for efficient utilization of irregular bandwidths.</w:t>
      </w:r>
    </w:p>
    <w:p w14:paraId="58173A97" w14:textId="1E76B9A5" w:rsidR="0043711F" w:rsidRDefault="00EA7131" w:rsidP="00EA7131">
      <w:pPr>
        <w:spacing w:before="120" w:after="0"/>
      </w:pPr>
      <w:r>
        <w:t>In this contribution, we provide our analysis and views on the four solutions mentioned in RAN4 LS</w:t>
      </w:r>
      <w:r w:rsidR="00265C44">
        <w:t xml:space="preserve">. </w:t>
      </w:r>
    </w:p>
    <w:p w14:paraId="02C2FE69" w14:textId="3331A554" w:rsidR="00015639" w:rsidRDefault="00CF34CB"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r w:rsidR="00A81403">
        <w:rPr>
          <w:rFonts w:cs="Arial"/>
          <w:b w:val="0"/>
          <w:bCs w:val="0"/>
          <w:kern w:val="0"/>
          <w:sz w:val="32"/>
          <w:szCs w:val="36"/>
        </w:rPr>
        <w:t xml:space="preserve"> </w:t>
      </w:r>
    </w:p>
    <w:p w14:paraId="6FA51A55" w14:textId="1D03272C" w:rsidR="00EA7131" w:rsidRDefault="006C08A6" w:rsidP="00015639">
      <w:r>
        <w:t>In RAN4 LS, the following four solutions are mentioned:</w:t>
      </w:r>
    </w:p>
    <w:p w14:paraId="1D028A65" w14:textId="4AA0A7DB" w:rsidR="006C08A6" w:rsidRPr="00D04180" w:rsidRDefault="006C08A6" w:rsidP="002732B6">
      <w:pPr>
        <w:outlineLvl w:val="1"/>
        <w:rPr>
          <w:b/>
          <w:u w:val="single"/>
        </w:rPr>
      </w:pPr>
      <w:r w:rsidRPr="00D04180">
        <w:rPr>
          <w:b/>
          <w:highlight w:val="green"/>
          <w:u w:val="single"/>
        </w:rPr>
        <w:t>Solution#1: Wider CBW</w:t>
      </w:r>
    </w:p>
    <w:p w14:paraId="27EF2548" w14:textId="7BFD5876" w:rsidR="003D1D3E" w:rsidRDefault="00FC7536" w:rsidP="003D1D3E">
      <w:r>
        <w:t>A</w:t>
      </w:r>
      <w:r w:rsidR="00B853C4">
        <w:t xml:space="preserve">ccording to TR 38.844, </w:t>
      </w:r>
      <w:r w:rsidR="006C08A6">
        <w:t xml:space="preserve">Solution#1 is </w:t>
      </w:r>
      <w:r w:rsidR="00B853C4">
        <w:t>illustrated</w:t>
      </w:r>
      <w:r w:rsidR="006C08A6">
        <w:t xml:space="preserve"> in figure 1</w:t>
      </w:r>
      <w:r>
        <w:t xml:space="preserve"> (take 7MHz NR cell as an example)</w:t>
      </w:r>
      <w:r w:rsidR="006C08A6">
        <w:t>.</w:t>
      </w:r>
    </w:p>
    <w:p w14:paraId="6E679142" w14:textId="56F86FB8" w:rsidR="003D1D3E" w:rsidRDefault="003D1D3E" w:rsidP="006C08A6">
      <w:pPr>
        <w:jc w:val="center"/>
      </w:pPr>
      <w:r>
        <w:object w:dxaOrig="4932" w:dyaOrig="1719" w14:anchorId="0584E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05pt;height:85.75pt" o:ole="">
            <v:imagedata r:id="rId9" o:title=""/>
          </v:shape>
          <o:OLEObject Type="Embed" ProgID="Visio.Drawing.11" ShapeID="_x0000_i1025" DrawAspect="Content" ObjectID="_1696409016" r:id="rId10"/>
        </w:object>
      </w:r>
    </w:p>
    <w:p w14:paraId="514D11FD" w14:textId="0CF60497" w:rsidR="005F653A" w:rsidRDefault="006C08A6" w:rsidP="00A30B1E">
      <w:pPr>
        <w:jc w:val="center"/>
      </w:pPr>
      <w:r>
        <w:t>Figure 1 Illustration of Solution#1</w:t>
      </w:r>
    </w:p>
    <w:p w14:paraId="4930B53F" w14:textId="4E7ADFDE" w:rsidR="00A30B1E" w:rsidRDefault="00A30B1E" w:rsidP="00015639">
      <w:r>
        <w:t xml:space="preserve">The network advertises the cell specific channel BW is 10MHz in system information (so that 10MHz capable UEs can select and camp on the cell), but the actual number of scheduled RBs is restricted to 7MHz so that it matches the actual spectrum allocation. </w:t>
      </w:r>
      <w:r w:rsidR="00B9246C">
        <w:t>After</w:t>
      </w:r>
      <w:r>
        <w:t xml:space="preserve"> UE enters the cell, </w:t>
      </w:r>
      <w:r w:rsidR="00B9246C">
        <w:t xml:space="preserve">the UE will be configured with 10MHz UE specific channel bandwidth, but the active BWP will be less or equal to 7MHz which is compatible to </w:t>
      </w:r>
      <w:r w:rsidR="00446392">
        <w:t xml:space="preserve">the </w:t>
      </w:r>
      <w:r w:rsidR="00B9246C">
        <w:t xml:space="preserve">real network </w:t>
      </w:r>
      <w:r w:rsidR="00446392">
        <w:t xml:space="preserve">operation </w:t>
      </w:r>
      <w:r w:rsidR="00B9246C">
        <w:t>bandwidth.</w:t>
      </w:r>
      <w:r>
        <w:t xml:space="preserve"> </w:t>
      </w:r>
    </w:p>
    <w:p w14:paraId="2DD010F2" w14:textId="32EEE506" w:rsidR="00BD7898" w:rsidRDefault="00002CD9" w:rsidP="00015639">
      <w:r>
        <w:t xml:space="preserve">Regarding Solution#1, </w:t>
      </w:r>
      <w:r w:rsidR="00C957B2">
        <w:t xml:space="preserve">the </w:t>
      </w:r>
      <w:r w:rsidR="004C232C">
        <w:t>following questions</w:t>
      </w:r>
      <w:r w:rsidR="00C957B2">
        <w:t xml:space="preserve"> are asked by RAN4</w:t>
      </w:r>
      <w:r w:rsidR="004C232C">
        <w:t>:</w:t>
      </w:r>
    </w:p>
    <w:tbl>
      <w:tblPr>
        <w:tblStyle w:val="af5"/>
        <w:tblW w:w="0" w:type="auto"/>
        <w:tblLook w:val="04A0" w:firstRow="1" w:lastRow="0" w:firstColumn="1" w:lastColumn="0" w:noHBand="0" w:noVBand="1"/>
      </w:tblPr>
      <w:tblGrid>
        <w:gridCol w:w="9995"/>
      </w:tblGrid>
      <w:tr w:rsidR="004C232C" w14:paraId="112B954D" w14:textId="77777777" w:rsidTr="004C232C">
        <w:tc>
          <w:tcPr>
            <w:tcW w:w="9995" w:type="dxa"/>
          </w:tcPr>
          <w:p w14:paraId="0CF29729" w14:textId="77777777" w:rsidR="004C232C" w:rsidRPr="00DA326B" w:rsidRDefault="004C232C" w:rsidP="004C232C">
            <w:pPr>
              <w:widowControl/>
              <w:numPr>
                <w:ilvl w:val="0"/>
                <w:numId w:val="50"/>
              </w:numPr>
              <w:overflowPunct w:val="0"/>
              <w:autoSpaceDE w:val="0"/>
              <w:autoSpaceDN w:val="0"/>
              <w:adjustRightInd w:val="0"/>
              <w:spacing w:after="0" w:line="280" w:lineRule="atLeast"/>
              <w:ind w:left="284" w:hanging="284"/>
              <w:jc w:val="left"/>
              <w:textAlignment w:val="baseline"/>
              <w:rPr>
                <w:rFonts w:eastAsia="宋体"/>
                <w:color w:val="0070C0"/>
                <w:kern w:val="0"/>
                <w:sz w:val="20"/>
                <w:szCs w:val="20"/>
                <w:lang w:eastAsia="zh-CN"/>
              </w:rPr>
            </w:pPr>
            <w:r w:rsidRPr="00DA326B">
              <w:rPr>
                <w:rFonts w:eastAsia="宋体"/>
                <w:color w:val="0070C0"/>
                <w:kern w:val="0"/>
                <w:sz w:val="20"/>
                <w:szCs w:val="20"/>
                <w:lang w:eastAsia="zh-CN"/>
              </w:rPr>
              <w:t>For the wider CBW:</w:t>
            </w:r>
          </w:p>
          <w:p w14:paraId="519DB697" w14:textId="2A6A228C" w:rsidR="004C232C" w:rsidRPr="00DA326B" w:rsidRDefault="004C232C" w:rsidP="004C232C">
            <w:pPr>
              <w:widowControl/>
              <w:numPr>
                <w:ilvl w:val="1"/>
                <w:numId w:val="50"/>
              </w:numPr>
              <w:overflowPunct w:val="0"/>
              <w:autoSpaceDE w:val="0"/>
              <w:autoSpaceDN w:val="0"/>
              <w:adjustRightInd w:val="0"/>
              <w:spacing w:after="0" w:line="280" w:lineRule="atLeast"/>
              <w:ind w:left="567" w:hanging="283"/>
              <w:jc w:val="left"/>
              <w:textAlignment w:val="baseline"/>
              <w:rPr>
                <w:rFonts w:eastAsia="宋体"/>
                <w:color w:val="0070C0"/>
                <w:kern w:val="0"/>
                <w:sz w:val="20"/>
                <w:szCs w:val="20"/>
                <w:lang w:eastAsia="zh-CN"/>
              </w:rPr>
            </w:pPr>
            <w:r w:rsidRPr="00DA326B">
              <w:rPr>
                <w:rFonts w:eastAsia="宋体"/>
                <w:color w:val="0070C0"/>
                <w:kern w:val="0"/>
                <w:sz w:val="20"/>
                <w:szCs w:val="20"/>
                <w:lang w:eastAsia="zh-CN"/>
              </w:rPr>
              <w:t xml:space="preserve"> clarify if there is any limitation for the UL carrier positions (not just BWP positions) legacy UEs support for uplinkChannelBW-PerSCS-List and scs-SpecificCarrierList in symmetric operating bands with a fixed duplex distance and asymmetric UL/DL channel bandwidth.</w:t>
            </w:r>
          </w:p>
          <w:p w14:paraId="73CCC196" w14:textId="5288F0F3" w:rsidR="004C232C" w:rsidRDefault="004C232C" w:rsidP="004C232C">
            <w:pPr>
              <w:widowControl/>
              <w:numPr>
                <w:ilvl w:val="1"/>
                <w:numId w:val="50"/>
              </w:numPr>
              <w:overflowPunct w:val="0"/>
              <w:autoSpaceDE w:val="0"/>
              <w:autoSpaceDN w:val="0"/>
              <w:adjustRightInd w:val="0"/>
              <w:spacing w:after="0" w:line="280" w:lineRule="atLeast"/>
              <w:ind w:left="567" w:hanging="283"/>
              <w:jc w:val="left"/>
              <w:textAlignment w:val="baseline"/>
            </w:pPr>
            <w:r w:rsidRPr="00DA326B">
              <w:rPr>
                <w:rFonts w:eastAsia="宋体"/>
                <w:color w:val="0070C0"/>
                <w:kern w:val="0"/>
                <w:sz w:val="20"/>
                <w:szCs w:val="20"/>
                <w:lang w:eastAsia="zh-CN"/>
              </w:rPr>
              <w:lastRenderedPageBreak/>
              <w:t xml:space="preserve"> confirm UE behaviour if it is possible to configure a carrier that is not fully contained in the NR band, i.e. the carrier can extend beyond the low edge of the band and/or the high edge of the band?</w:t>
            </w:r>
            <w:r w:rsidRPr="00DA326B">
              <w:rPr>
                <w:rFonts w:eastAsia="宋体" w:cs="Arial"/>
                <w:color w:val="0070C0"/>
                <w:kern w:val="0"/>
                <w:sz w:val="20"/>
                <w:szCs w:val="20"/>
                <w:lang w:eastAsia="zh-CN"/>
              </w:rPr>
              <w:t xml:space="preserve"> </w:t>
            </w:r>
          </w:p>
        </w:tc>
      </w:tr>
    </w:tbl>
    <w:p w14:paraId="6F9D26F9" w14:textId="6E6BA0D1" w:rsidR="004C232C" w:rsidRDefault="00546BC1" w:rsidP="00015639">
      <w:r>
        <w:lastRenderedPageBreak/>
        <w:t>The first question relates the definition of uplinkC</w:t>
      </w:r>
      <w:r>
        <w:rPr>
          <w:rFonts w:hint="eastAsia"/>
        </w:rPr>
        <w:t>hannelBW-PerSCS-List</w:t>
      </w:r>
      <w:r>
        <w:t xml:space="preserve"> </w:t>
      </w:r>
      <w:r>
        <w:rPr>
          <w:rFonts w:hint="eastAsia"/>
        </w:rPr>
        <w:t>in</w:t>
      </w:r>
      <w:r>
        <w:t xml:space="preserve"> TS 38.331 </w:t>
      </w:r>
      <w:r>
        <w:rPr>
          <w:rFonts w:hint="eastAsia"/>
        </w:rPr>
        <w:t>(</w:t>
      </w:r>
      <w:r>
        <w:t>pasted below):</w:t>
      </w:r>
      <w:r w:rsidR="004C232C">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546BC1" w:rsidRPr="00546BC1" w14:paraId="4A15B3F5" w14:textId="77777777" w:rsidTr="00546BC1">
        <w:tc>
          <w:tcPr>
            <w:tcW w:w="9747" w:type="dxa"/>
            <w:tcBorders>
              <w:top w:val="single" w:sz="4" w:space="0" w:color="auto"/>
              <w:left w:val="single" w:sz="4" w:space="0" w:color="auto"/>
              <w:bottom w:val="single" w:sz="4" w:space="0" w:color="auto"/>
              <w:right w:val="single" w:sz="4" w:space="0" w:color="auto"/>
            </w:tcBorders>
            <w:hideMark/>
          </w:tcPr>
          <w:p w14:paraId="6E10AA11" w14:textId="77777777" w:rsidR="00546BC1" w:rsidRPr="00546BC1" w:rsidRDefault="00546BC1" w:rsidP="00546BC1">
            <w:pPr>
              <w:keepNext/>
              <w:keepLines/>
              <w:widowControl/>
              <w:overflowPunct w:val="0"/>
              <w:autoSpaceDE w:val="0"/>
              <w:autoSpaceDN w:val="0"/>
              <w:adjustRightInd w:val="0"/>
              <w:spacing w:after="0"/>
              <w:jc w:val="left"/>
              <w:textAlignment w:val="baseline"/>
              <w:rPr>
                <w:rFonts w:ascii="Arial" w:eastAsia="Times New Roman" w:hAnsi="Arial"/>
                <w:b/>
                <w:i/>
                <w:kern w:val="0"/>
                <w:sz w:val="18"/>
                <w:szCs w:val="22"/>
                <w:lang w:val="en-GB" w:eastAsia="sv-SE"/>
              </w:rPr>
            </w:pPr>
            <w:r w:rsidRPr="00546BC1">
              <w:rPr>
                <w:rFonts w:ascii="Arial" w:eastAsia="Times New Roman" w:hAnsi="Arial"/>
                <w:b/>
                <w:i/>
                <w:kern w:val="0"/>
                <w:sz w:val="18"/>
                <w:szCs w:val="22"/>
                <w:lang w:val="en-GB" w:eastAsia="sv-SE"/>
              </w:rPr>
              <w:t>uplinkChannelBW-PerSCS-List</w:t>
            </w:r>
          </w:p>
          <w:p w14:paraId="10593A13" w14:textId="77777777" w:rsidR="00546BC1" w:rsidRPr="00546BC1" w:rsidRDefault="00546BC1" w:rsidP="006F22E0">
            <w:pPr>
              <w:keepNext/>
              <w:keepLines/>
              <w:widowControl/>
              <w:overflowPunct w:val="0"/>
              <w:autoSpaceDE w:val="0"/>
              <w:autoSpaceDN w:val="0"/>
              <w:adjustRightInd w:val="0"/>
              <w:spacing w:after="0"/>
              <w:jc w:val="left"/>
              <w:textAlignment w:val="baseline"/>
              <w:rPr>
                <w:rFonts w:ascii="Arial" w:eastAsia="Times New Roman" w:hAnsi="Arial"/>
                <w:kern w:val="0"/>
                <w:sz w:val="18"/>
                <w:szCs w:val="22"/>
                <w:lang w:val="en-GB" w:eastAsia="sv-SE"/>
              </w:rPr>
            </w:pPr>
            <w:r w:rsidRPr="00546BC1">
              <w:rPr>
                <w:rFonts w:ascii="Arial" w:eastAsia="Times New Roman" w:hAnsi="Arial"/>
                <w:kern w:val="0"/>
                <w:sz w:val="18"/>
                <w:szCs w:val="22"/>
                <w:lang w:val="en-GB"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546BC1">
              <w:rPr>
                <w:rFonts w:ascii="Arial" w:eastAsia="Times New Roman" w:hAnsi="Arial"/>
                <w:i/>
                <w:kern w:val="0"/>
                <w:sz w:val="18"/>
                <w:szCs w:val="22"/>
                <w:lang w:val="en-GB" w:eastAsia="sv-SE"/>
              </w:rPr>
              <w:t>scs-SpecificCarrierList</w:t>
            </w:r>
            <w:r w:rsidRPr="00546BC1">
              <w:rPr>
                <w:rFonts w:ascii="Arial" w:eastAsia="Times New Roman" w:hAnsi="Arial"/>
                <w:kern w:val="0"/>
                <w:sz w:val="18"/>
                <w:szCs w:val="22"/>
                <w:lang w:val="en-GB" w:eastAsia="sv-SE"/>
              </w:rPr>
              <w:t xml:space="preserve"> in </w:t>
            </w:r>
            <w:r w:rsidRPr="00546BC1">
              <w:rPr>
                <w:rFonts w:ascii="Arial" w:eastAsia="Times New Roman" w:hAnsi="Arial"/>
                <w:i/>
                <w:kern w:val="0"/>
                <w:sz w:val="18"/>
                <w:szCs w:val="22"/>
                <w:lang w:val="en-GB" w:eastAsia="sv-SE"/>
              </w:rPr>
              <w:t>UplinkConfigCommon</w:t>
            </w:r>
            <w:r w:rsidRPr="00546BC1">
              <w:rPr>
                <w:rFonts w:ascii="Arial" w:eastAsia="Times New Roman" w:hAnsi="Arial"/>
                <w:kern w:val="0"/>
                <w:sz w:val="18"/>
                <w:szCs w:val="22"/>
                <w:lang w:val="en-GB" w:eastAsia="sv-SE"/>
              </w:rPr>
              <w:t xml:space="preserve"> / </w:t>
            </w:r>
            <w:r w:rsidRPr="00546BC1">
              <w:rPr>
                <w:rFonts w:ascii="Arial" w:eastAsia="Times New Roman" w:hAnsi="Arial"/>
                <w:i/>
                <w:kern w:val="0"/>
                <w:sz w:val="18"/>
                <w:szCs w:val="22"/>
                <w:lang w:val="en-GB" w:eastAsia="sv-SE"/>
              </w:rPr>
              <w:t>UplinkConfigCommonSIB</w:t>
            </w:r>
            <w:r w:rsidRPr="00546BC1">
              <w:rPr>
                <w:rFonts w:ascii="Arial" w:eastAsia="Times New Roman" w:hAnsi="Arial"/>
                <w:kern w:val="0"/>
                <w:sz w:val="18"/>
                <w:szCs w:val="22"/>
                <w:lang w:val="en-GB" w:eastAsia="sv-SE"/>
              </w:rPr>
              <w:t>. Network only configures channel bandwidth that corresponds to the channel bandwidth values defined in TS 38.101-1 [15] and TS 38.101-2 [39].</w:t>
            </w:r>
          </w:p>
        </w:tc>
      </w:tr>
    </w:tbl>
    <w:p w14:paraId="718D110C" w14:textId="26402902" w:rsidR="005F653A" w:rsidRDefault="005A39D9" w:rsidP="00015639">
      <w:r>
        <w:t xml:space="preserve">As we can see, RAN2 only defines the configuration of uplink UE channel BW should be aligned with values defined in RAN4 specs, but there is no additional limitation in RAN2 related to the UL carrier position in symmetric bands with a fixed duplex distance and asymmetric UL/DL channel bandwidth. </w:t>
      </w:r>
      <w:r w:rsidR="009131E1">
        <w:t>For TDD operation, RAN2 only specifies the BWP pair (UL BWP and DL BWP have the same bwp-Id) should have the same center frequency, but there is no</w:t>
      </w:r>
      <w:r w:rsidR="00DF0E32">
        <w:t xml:space="preserve"> such</w:t>
      </w:r>
      <w:r w:rsidR="009131E1">
        <w:t xml:space="preserve"> limitation on the configuration of UL/DL UE specific channel bandwidth. </w:t>
      </w:r>
      <w:r w:rsidR="006619B0">
        <w:t>But i</w:t>
      </w:r>
      <w:r w:rsidR="006619B0">
        <w:rPr>
          <w:rFonts w:hint="eastAsia"/>
        </w:rPr>
        <w:t>n</w:t>
      </w:r>
      <w:r w:rsidR="006619B0">
        <w:t xml:space="preserve"> our understanding, network configures carriers follow the limitation defined in RAN4 spec. </w:t>
      </w:r>
    </w:p>
    <w:p w14:paraId="50B77A2C" w14:textId="050B22BE" w:rsidR="001A7281" w:rsidRDefault="001A7281" w:rsidP="001A7281">
      <w:pPr>
        <w:ind w:left="1418" w:hanging="1418"/>
      </w:pPr>
      <w:r>
        <w:rPr>
          <w:b/>
        </w:rPr>
        <w:t>Observation 1: In RAN2 spec</w:t>
      </w:r>
      <w:r w:rsidR="00263CA7">
        <w:rPr>
          <w:b/>
        </w:rPr>
        <w:t>ification</w:t>
      </w:r>
      <w:r>
        <w:rPr>
          <w:b/>
        </w:rPr>
        <w:t>,</w:t>
      </w:r>
      <w:r w:rsidR="007A7F86">
        <w:rPr>
          <w:b/>
        </w:rPr>
        <w:t xml:space="preserve"> </w:t>
      </w:r>
      <w:r>
        <w:rPr>
          <w:b/>
        </w:rPr>
        <w:t xml:space="preserve">there is no limitation on </w:t>
      </w:r>
      <w:r w:rsidR="007A7F86">
        <w:rPr>
          <w:b/>
        </w:rPr>
        <w:t xml:space="preserve">the </w:t>
      </w:r>
      <w:r>
        <w:rPr>
          <w:b/>
        </w:rPr>
        <w:t xml:space="preserve">UL carrier position </w:t>
      </w:r>
      <w:r w:rsidR="006619B0">
        <w:rPr>
          <w:b/>
        </w:rPr>
        <w:t>for UE specific channel bandwidth in symmetric operating bands with a fixed duplex distance and asymmetric UL/DL channel bandwidth</w:t>
      </w:r>
      <w:r>
        <w:rPr>
          <w:rFonts w:hint="eastAsia"/>
          <w:b/>
        </w:rPr>
        <w:t>.</w:t>
      </w:r>
    </w:p>
    <w:p w14:paraId="21BD79C4" w14:textId="7E464FC7" w:rsidR="000C1B23" w:rsidRDefault="007A7F86" w:rsidP="00015639">
      <w:r>
        <w:t xml:space="preserve">For the second question, </w:t>
      </w:r>
      <w:r w:rsidR="000C1B23">
        <w:t xml:space="preserve">we think the common understanding in RAN2 is that any configured carrier should be fully contained in corresponding NR band, RAN2 haven’t discussed the UE behaviour if the carrier is extended beyond the low/high edge of the band. On the contrary, such configuration should be regarded as invalid configuration from RAN2 point of view. </w:t>
      </w:r>
      <w:r w:rsidR="002732B6">
        <w:t xml:space="preserve">                                                                    </w:t>
      </w:r>
    </w:p>
    <w:p w14:paraId="499640AB" w14:textId="3A04D783" w:rsidR="001D673D" w:rsidRPr="00192F7A" w:rsidRDefault="000C1B23" w:rsidP="00192F7A">
      <w:pPr>
        <w:ind w:left="1418" w:hanging="1418"/>
        <w:rPr>
          <w:b/>
        </w:rPr>
      </w:pPr>
      <w:r>
        <w:rPr>
          <w:b/>
        </w:rPr>
        <w:t xml:space="preserve">Observation 2: From RAN2 perspective, configuring a carrier that is not fully contained in the NR band can be regarded as invalid configuration, </w:t>
      </w:r>
      <w:r w:rsidR="00720B84">
        <w:rPr>
          <w:b/>
        </w:rPr>
        <w:t>and</w:t>
      </w:r>
      <w:r>
        <w:rPr>
          <w:b/>
        </w:rPr>
        <w:t xml:space="preserve"> it is unclear how UE behaves in such case</w:t>
      </w:r>
      <w:r>
        <w:rPr>
          <w:rFonts w:hint="eastAsia"/>
          <w:b/>
        </w:rPr>
        <w:t>.</w:t>
      </w:r>
      <w:r w:rsidR="001D673D" w:rsidRPr="001D673D">
        <w:t xml:space="preserve"> </w:t>
      </w:r>
    </w:p>
    <w:p w14:paraId="45A8672D" w14:textId="10A76B60" w:rsidR="00D04180" w:rsidRPr="006C08A6" w:rsidRDefault="00D04180" w:rsidP="002732B6">
      <w:pPr>
        <w:outlineLvl w:val="1"/>
        <w:rPr>
          <w:b/>
          <w:u w:val="single"/>
        </w:rPr>
      </w:pPr>
      <w:r w:rsidRPr="004869FD">
        <w:rPr>
          <w:b/>
          <w:highlight w:val="green"/>
          <w:u w:val="single"/>
        </w:rPr>
        <w:t>Solution#2: Overlapping CBWs from network perspective (one cell approach)</w:t>
      </w:r>
    </w:p>
    <w:p w14:paraId="57570A58" w14:textId="42E7D8AE" w:rsidR="007755F1" w:rsidRDefault="007755F1" w:rsidP="007755F1">
      <w:r>
        <w:t xml:space="preserve">According to TR 38.844, Solution#2 is illustrated in </w:t>
      </w:r>
      <w:r w:rsidR="005267D1">
        <w:t>F</w:t>
      </w:r>
      <w:r>
        <w:t>igure 2 (take 7MHz NR cell as an example)</w:t>
      </w:r>
      <w:r w:rsidR="008601FB">
        <w:t>:</w:t>
      </w:r>
    </w:p>
    <w:p w14:paraId="609E17C7" w14:textId="65C1F05A" w:rsidR="0001235D" w:rsidRDefault="0001235D" w:rsidP="0001235D">
      <w:pPr>
        <w:jc w:val="center"/>
      </w:pPr>
      <w:r>
        <w:object w:dxaOrig="4569" w:dyaOrig="1686" w14:anchorId="69AB2546">
          <v:shape id="_x0000_i1026" type="#_x0000_t75" style="width:228.5pt;height:84.5pt" o:ole="">
            <v:imagedata r:id="rId11" o:title=""/>
          </v:shape>
          <o:OLEObject Type="Embed" ProgID="Visio.Drawing.11" ShapeID="_x0000_i1026" DrawAspect="Content" ObjectID="_1696409017" r:id="rId12"/>
        </w:object>
      </w:r>
    </w:p>
    <w:p w14:paraId="0A5889BF" w14:textId="0B3A3958" w:rsidR="007755F1" w:rsidRDefault="0001235D" w:rsidP="00284AE8">
      <w:pPr>
        <w:jc w:val="center"/>
      </w:pPr>
      <w:r>
        <w:t>Figure 2 Illustration of Solution#2</w:t>
      </w:r>
    </w:p>
    <w:p w14:paraId="01A911DF" w14:textId="2B84C930" w:rsidR="007755F1" w:rsidRDefault="00284AE8" w:rsidP="00015639">
      <w:r>
        <w:t xml:space="preserve">Compare to Solution#1, </w:t>
      </w:r>
      <w:r w:rsidR="005D5964">
        <w:t>for a given UE in</w:t>
      </w:r>
      <w:r>
        <w:t xml:space="preserve"> Solution#2, the maximum bandwidth</w:t>
      </w:r>
      <w:r w:rsidR="005D5964">
        <w:t xml:space="preserve"> can be configured (e.g. 5MHz) is less than the actual network bandwidth.</w:t>
      </w:r>
      <w:r>
        <w:t xml:space="preserve"> </w:t>
      </w:r>
      <w:r w:rsidR="005D5964">
        <w:t xml:space="preserve">And different UEs can be configured with different uplink carrier positions. </w:t>
      </w:r>
      <w:r w:rsidR="00FB4E89">
        <w:t>T</w:t>
      </w:r>
      <w:r w:rsidR="005D5964">
        <w:t xml:space="preserve">he maximum throughput for a single UE will be less than the UE in Solution#1, but from network perspective, network can still use the whole irregular channel bandwidth.  </w:t>
      </w:r>
    </w:p>
    <w:p w14:paraId="1EF643B4" w14:textId="7F0215A6" w:rsidR="00C957B2" w:rsidRDefault="00C957B2" w:rsidP="00015639">
      <w:r>
        <w:t>For Solution#2</w:t>
      </w:r>
      <w:r w:rsidR="00996DF7">
        <w:t>, the following questions are asked by RAN4:</w:t>
      </w:r>
    </w:p>
    <w:tbl>
      <w:tblPr>
        <w:tblStyle w:val="af5"/>
        <w:tblW w:w="0" w:type="auto"/>
        <w:tblLook w:val="04A0" w:firstRow="1" w:lastRow="0" w:firstColumn="1" w:lastColumn="0" w:noHBand="0" w:noVBand="1"/>
      </w:tblPr>
      <w:tblGrid>
        <w:gridCol w:w="9995"/>
      </w:tblGrid>
      <w:tr w:rsidR="007755F1" w14:paraId="681BCD9A" w14:textId="77777777" w:rsidTr="007755F1">
        <w:tc>
          <w:tcPr>
            <w:tcW w:w="9995" w:type="dxa"/>
          </w:tcPr>
          <w:p w14:paraId="0DAB7613" w14:textId="77777777" w:rsidR="007755F1" w:rsidRPr="00DA326B" w:rsidRDefault="007755F1" w:rsidP="007755F1">
            <w:pPr>
              <w:widowControl/>
              <w:numPr>
                <w:ilvl w:val="0"/>
                <w:numId w:val="50"/>
              </w:numPr>
              <w:overflowPunct w:val="0"/>
              <w:autoSpaceDE w:val="0"/>
              <w:autoSpaceDN w:val="0"/>
              <w:adjustRightInd w:val="0"/>
              <w:spacing w:after="0" w:line="280" w:lineRule="atLeast"/>
              <w:ind w:hanging="720"/>
              <w:jc w:val="left"/>
              <w:textAlignment w:val="baseline"/>
              <w:rPr>
                <w:rFonts w:eastAsia="宋体"/>
                <w:color w:val="0070C0"/>
                <w:kern w:val="0"/>
                <w:sz w:val="20"/>
                <w:szCs w:val="20"/>
                <w:lang w:eastAsia="zh-CN"/>
              </w:rPr>
            </w:pPr>
            <w:r w:rsidRPr="00DA326B">
              <w:rPr>
                <w:rFonts w:eastAsia="宋体"/>
                <w:color w:val="0070C0"/>
                <w:kern w:val="0"/>
                <w:sz w:val="20"/>
                <w:szCs w:val="20"/>
                <w:lang w:eastAsia="zh-CN"/>
              </w:rPr>
              <w:t>For the overlapping CBWs from network perspective (one cell approach):</w:t>
            </w:r>
          </w:p>
          <w:p w14:paraId="05DD6450" w14:textId="77777777" w:rsidR="007755F1" w:rsidRPr="00DA326B" w:rsidRDefault="007755F1" w:rsidP="007755F1">
            <w:pPr>
              <w:widowControl/>
              <w:numPr>
                <w:ilvl w:val="1"/>
                <w:numId w:val="50"/>
              </w:numPr>
              <w:overflowPunct w:val="0"/>
              <w:autoSpaceDE w:val="0"/>
              <w:autoSpaceDN w:val="0"/>
              <w:adjustRightInd w:val="0"/>
              <w:spacing w:after="0" w:line="280" w:lineRule="atLeast"/>
              <w:ind w:left="851" w:hanging="425"/>
              <w:jc w:val="left"/>
              <w:textAlignment w:val="baseline"/>
              <w:rPr>
                <w:rFonts w:eastAsia="宋体"/>
                <w:color w:val="0070C0"/>
                <w:kern w:val="0"/>
                <w:sz w:val="20"/>
                <w:szCs w:val="20"/>
                <w:lang w:eastAsia="zh-CN"/>
              </w:rPr>
            </w:pPr>
            <w:r w:rsidRPr="00DA326B">
              <w:rPr>
                <w:rFonts w:eastAsia="宋体"/>
                <w:color w:val="0070C0"/>
                <w:kern w:val="0"/>
                <w:sz w:val="20"/>
                <w:szCs w:val="20"/>
                <w:lang w:eastAsia="zh-CN"/>
              </w:rPr>
              <w:t xml:space="preserve">clarify whether a single SSB and CORESET (e.g. for cases where irregular BWs &gt;10 MHz where a 4.28 MHz </w:t>
            </w:r>
            <w:r w:rsidRPr="00DA326B">
              <w:rPr>
                <w:rFonts w:eastAsia="宋体"/>
                <w:color w:val="0070C0"/>
                <w:kern w:val="0"/>
                <w:sz w:val="20"/>
                <w:szCs w:val="20"/>
                <w:lang w:eastAsia="zh-CN"/>
              </w:rPr>
              <w:lastRenderedPageBreak/>
              <w:t xml:space="preserve">wide initial BWP can be in the common frequency range), can be used to configure UEs with different channel BWs on different parts of the BS channel.  </w:t>
            </w:r>
          </w:p>
          <w:p w14:paraId="1D6934D0" w14:textId="195E0763" w:rsidR="007755F1" w:rsidRDefault="007755F1" w:rsidP="007755F1">
            <w:pPr>
              <w:widowControl/>
              <w:numPr>
                <w:ilvl w:val="1"/>
                <w:numId w:val="50"/>
              </w:numPr>
              <w:overflowPunct w:val="0"/>
              <w:autoSpaceDE w:val="0"/>
              <w:autoSpaceDN w:val="0"/>
              <w:adjustRightInd w:val="0"/>
              <w:spacing w:after="0" w:line="280" w:lineRule="atLeast"/>
              <w:ind w:left="851" w:hanging="425"/>
              <w:jc w:val="left"/>
              <w:textAlignment w:val="baseline"/>
            </w:pPr>
            <w:r w:rsidRPr="00DA326B">
              <w:rPr>
                <w:rFonts w:eastAsia="宋体"/>
                <w:color w:val="0070C0"/>
                <w:kern w:val="0"/>
                <w:sz w:val="20"/>
                <w:szCs w:val="20"/>
                <w:lang w:eastAsia="zh-CN"/>
              </w:rPr>
              <w:t>clarify whether two time staggered SSBs and CORESET#0 on the same frequency (when the frequency separation is not enough to send them simultaneously at the same time and thus time staggering is needed) are supported in RAN1/2 specifications so that UEs configured with left and right channels of the next smaller regular size can track their own time staggered SSB and CORESET#0.</w:t>
            </w:r>
            <w:r w:rsidRPr="00DA326B">
              <w:rPr>
                <w:rFonts w:eastAsia="宋体" w:cs="Arial"/>
                <w:color w:val="0070C0"/>
                <w:kern w:val="0"/>
                <w:sz w:val="20"/>
                <w:szCs w:val="20"/>
                <w:lang w:eastAsia="zh-CN"/>
              </w:rPr>
              <w:t xml:space="preserve"> </w:t>
            </w:r>
          </w:p>
        </w:tc>
      </w:tr>
    </w:tbl>
    <w:p w14:paraId="4E7F2C37" w14:textId="77777777" w:rsidR="00F6038F" w:rsidRDefault="00BC18AD" w:rsidP="0081116F">
      <w:r>
        <w:lastRenderedPageBreak/>
        <w:t xml:space="preserve">For the first question, </w:t>
      </w:r>
      <w:r w:rsidR="00FA392E">
        <w:t xml:space="preserve">when UE is in RRC_IDLE or RRC_INACTIVE state, the </w:t>
      </w:r>
      <w:r w:rsidR="0081116F">
        <w:t>UE monitors SSB</w:t>
      </w:r>
      <w:r w:rsidR="00492526">
        <w:t>, Paging</w:t>
      </w:r>
      <w:r w:rsidR="0081116F">
        <w:t xml:space="preserve"> and</w:t>
      </w:r>
      <w:r w:rsidR="00492526">
        <w:t xml:space="preserve"> SIBs, and SIBs/Paging are sent within the bandwidth of</w:t>
      </w:r>
      <w:r w:rsidR="0081116F">
        <w:t xml:space="preserve"> </w:t>
      </w:r>
      <w:r w:rsidR="00492526">
        <w:t>CORESET#0.</w:t>
      </w:r>
      <w:r w:rsidR="0081116F">
        <w:t xml:space="preserve"> </w:t>
      </w:r>
      <w:r w:rsidR="00492526">
        <w:t>A</w:t>
      </w:r>
      <w:r w:rsidR="00FA392E">
        <w:t>fter</w:t>
      </w:r>
      <w:r w:rsidR="0081116F">
        <w:t xml:space="preserve"> UE enters RRC_CONNECTED state, the UE will </w:t>
      </w:r>
      <w:r w:rsidR="00FA392E">
        <w:t>operate on</w:t>
      </w:r>
      <w:r w:rsidR="0081116F">
        <w:t xml:space="preserve"> </w:t>
      </w:r>
      <w:r w:rsidR="00FA392E">
        <w:t>BWP, and will be configured with UE specific ch</w:t>
      </w:r>
      <w:r w:rsidR="00492526">
        <w:t xml:space="preserve">annel BW. From RAN2 perspective, it is </w:t>
      </w:r>
      <w:r w:rsidR="00F6038F">
        <w:t xml:space="preserve">feasible to configure UEs with different channel BWs on different parts of the BS channel. </w:t>
      </w:r>
    </w:p>
    <w:p w14:paraId="51EB50C8" w14:textId="4A2FD33E" w:rsidR="00F6038F" w:rsidRDefault="00F6038F" w:rsidP="00F6038F">
      <w:pPr>
        <w:ind w:left="1418" w:hanging="1418"/>
      </w:pPr>
      <w:r>
        <w:rPr>
          <w:b/>
        </w:rPr>
        <w:t xml:space="preserve">Observation </w:t>
      </w:r>
      <w:r w:rsidR="004541D5">
        <w:rPr>
          <w:b/>
        </w:rPr>
        <w:t>3</w:t>
      </w:r>
      <w:r>
        <w:rPr>
          <w:b/>
        </w:rPr>
        <w:t>: From RAN2 perspective, RRC_CONNECTED UEs are configured with UE specific channel bandwidth through dedicated signalling, so even if single SSB and CORESET are deployed, it is feasible to configure UEs with different channel BWs on the different par</w:t>
      </w:r>
      <w:r w:rsidR="004541D5">
        <w:rPr>
          <w:b/>
        </w:rPr>
        <w:t>ts of the BS channel</w:t>
      </w:r>
      <w:r>
        <w:rPr>
          <w:rFonts w:hint="eastAsia"/>
          <w:b/>
        </w:rPr>
        <w:t>.</w:t>
      </w:r>
    </w:p>
    <w:p w14:paraId="58E24423" w14:textId="1D3DADCE" w:rsidR="004541D5" w:rsidRDefault="00FA5AD8" w:rsidP="0081116F">
      <w:r>
        <w:t>For the second question, the position of SSB and CORESET#0 in time domain is manly RAN1 design, according to RAN1 response in [2], RAN1 already confirms the feasibility of time</w:t>
      </w:r>
      <w:r w:rsidR="004541D5">
        <w:t>-</w:t>
      </w:r>
      <w:r>
        <w:t>staggered SSBs and CORESET#0. From RAN2 perspective</w:t>
      </w:r>
      <w:r w:rsidR="002353D3">
        <w:t xml:space="preserve">, </w:t>
      </w:r>
      <w:r w:rsidR="004541D5">
        <w:t>RAN2 specification</w:t>
      </w:r>
      <w:r w:rsidR="002353D3">
        <w:t>s indeed</w:t>
      </w:r>
      <w:r w:rsidR="004541D5">
        <w:t xml:space="preserve"> d</w:t>
      </w:r>
      <w:r w:rsidR="002353D3">
        <w:t>o</w:t>
      </w:r>
      <w:r w:rsidR="004541D5">
        <w:t xml:space="preserve"> not prohibit such configuration, but the two SSBs and CORESET#0 should be associated to different SIB1, therefore, different NCGI will be broadcast. From UE perspective, the two time-staggered SSBs represent different cells. </w:t>
      </w:r>
    </w:p>
    <w:p w14:paraId="79C81EFD" w14:textId="411BFB7C" w:rsidR="004541D5" w:rsidRDefault="004541D5" w:rsidP="004541D5">
      <w:pPr>
        <w:ind w:left="1418" w:hanging="1418"/>
      </w:pPr>
      <w:r>
        <w:rPr>
          <w:b/>
        </w:rPr>
        <w:t xml:space="preserve">Observation 4: From RAN2 perspective, RAN2 specification does not prohibit network to transmit two staggered SSBs and CORESET#0, but the two SSBs and CORESET#0 should be associated to separate SIB1 (with different NCGI), so from UE perspective, they are two different cells. </w:t>
      </w:r>
    </w:p>
    <w:p w14:paraId="609678AF" w14:textId="65AA9D8A" w:rsidR="00192F7A" w:rsidRPr="006C08A6" w:rsidRDefault="00192F7A" w:rsidP="00192F7A">
      <w:pPr>
        <w:outlineLvl w:val="1"/>
        <w:rPr>
          <w:b/>
          <w:u w:val="single"/>
        </w:rPr>
      </w:pPr>
      <w:r w:rsidRPr="004869FD">
        <w:rPr>
          <w:b/>
          <w:highlight w:val="green"/>
          <w:u w:val="single"/>
        </w:rPr>
        <w:t>Solution#</w:t>
      </w:r>
      <w:r>
        <w:rPr>
          <w:b/>
          <w:highlight w:val="green"/>
          <w:u w:val="single"/>
        </w:rPr>
        <w:t>3</w:t>
      </w:r>
      <w:r w:rsidRPr="004869FD">
        <w:rPr>
          <w:b/>
          <w:highlight w:val="green"/>
          <w:u w:val="single"/>
        </w:rPr>
        <w:t xml:space="preserve">: Overlapping CBWs from </w:t>
      </w:r>
      <w:r w:rsidR="00085BEB">
        <w:rPr>
          <w:b/>
          <w:highlight w:val="green"/>
          <w:u w:val="single"/>
        </w:rPr>
        <w:t>UE perspective (two</w:t>
      </w:r>
      <w:r w:rsidRPr="004869FD">
        <w:rPr>
          <w:b/>
          <w:highlight w:val="green"/>
          <w:u w:val="single"/>
        </w:rPr>
        <w:t xml:space="preserve"> cell approach</w:t>
      </w:r>
      <w:r w:rsidR="00085BEB">
        <w:rPr>
          <w:b/>
          <w:highlight w:val="green"/>
          <w:u w:val="single"/>
        </w:rPr>
        <w:t xml:space="preserve"> / CA approach</w:t>
      </w:r>
      <w:r w:rsidRPr="004869FD">
        <w:rPr>
          <w:b/>
          <w:highlight w:val="green"/>
          <w:u w:val="single"/>
        </w:rPr>
        <w:t>)</w:t>
      </w:r>
    </w:p>
    <w:p w14:paraId="66CC929B" w14:textId="3F177270" w:rsidR="00192F7A" w:rsidRDefault="005267D1" w:rsidP="00015639">
      <w:r>
        <w:t>According to TS 38.344, solution #3 is illustrated in Figure 3 (t</w:t>
      </w:r>
      <w:r w:rsidR="008601FB">
        <w:t>ake 7MHz NR cell as an example)</w:t>
      </w:r>
      <w:r>
        <w:t>:</w:t>
      </w:r>
    </w:p>
    <w:p w14:paraId="5121323A" w14:textId="200D4A06" w:rsidR="00192F7A" w:rsidRDefault="002B77B2" w:rsidP="002B77B2">
      <w:pPr>
        <w:jc w:val="center"/>
      </w:pPr>
      <w:r>
        <w:object w:dxaOrig="5659" w:dyaOrig="1687" w14:anchorId="7DF44BCF">
          <v:shape id="_x0000_i1027" type="#_x0000_t75" style="width:283pt;height:84.5pt" o:ole="">
            <v:imagedata r:id="rId13" o:title=""/>
          </v:shape>
          <o:OLEObject Type="Embed" ProgID="Visio.Drawing.11" ShapeID="_x0000_i1027" DrawAspect="Content" ObjectID="_1696409018" r:id="rId14"/>
        </w:object>
      </w:r>
    </w:p>
    <w:p w14:paraId="38DD8B8A" w14:textId="1926522C" w:rsidR="002B77B2" w:rsidRDefault="002B77B2" w:rsidP="002B77B2">
      <w:pPr>
        <w:jc w:val="center"/>
      </w:pPr>
      <w:r>
        <w:t>Figure 3 Illustration of Solution#3</w:t>
      </w:r>
    </w:p>
    <w:p w14:paraId="6FC7DF52" w14:textId="33ECAB49" w:rsidR="000C0F5C" w:rsidRDefault="000C0F5C" w:rsidP="00015639">
      <w:r>
        <w:t>For solution#3, network can split the BS bandwidth into two separate cells, and UE is configured with both two cells (</w:t>
      </w:r>
      <w:r>
        <w:rPr>
          <w:rFonts w:hint="eastAsia"/>
        </w:rPr>
        <w:t>e.g.</w:t>
      </w:r>
      <w:r>
        <w:t xml:space="preserve"> CA). Since SSB-less SCell is supported, it is possible to configure SSB in one cell, and</w:t>
      </w:r>
      <w:r w:rsidR="0089447A">
        <w:t xml:space="preserve"> the other cell </w:t>
      </w:r>
      <w:r>
        <w:t>only act</w:t>
      </w:r>
      <w:r w:rsidR="0089447A">
        <w:t>s</w:t>
      </w:r>
      <w:r>
        <w:t xml:space="preserve"> a</w:t>
      </w:r>
      <w:r w:rsidR="0089447A">
        <w:t xml:space="preserve">s a SCell. From signalling point of view, this solution can already be supported in RRC signalling. However, in current specification, no UE capability was defined for indicating the support of intra-band overlapping CA (as also indicated in RAN1’s response). So technically, UE is not assumed to support this </w:t>
      </w:r>
      <w:r w:rsidR="00DE1F30">
        <w:t>scenario</w:t>
      </w:r>
      <w:r w:rsidR="0089447A">
        <w:t xml:space="preserve"> even if </w:t>
      </w:r>
      <w:r w:rsidR="00DE1F30">
        <w:t xml:space="preserve">the </w:t>
      </w:r>
      <w:r w:rsidR="0089447A">
        <w:t xml:space="preserve">UE supports intra-band CA. </w:t>
      </w:r>
    </w:p>
    <w:p w14:paraId="09EDA852" w14:textId="42680738" w:rsidR="0089447A" w:rsidRDefault="0089447A" w:rsidP="0089447A">
      <w:r>
        <w:t>For Solution#3, the following questions are asked by RAN4:</w:t>
      </w:r>
    </w:p>
    <w:tbl>
      <w:tblPr>
        <w:tblStyle w:val="af5"/>
        <w:tblW w:w="0" w:type="auto"/>
        <w:tblLook w:val="04A0" w:firstRow="1" w:lastRow="0" w:firstColumn="1" w:lastColumn="0" w:noHBand="0" w:noVBand="1"/>
      </w:tblPr>
      <w:tblGrid>
        <w:gridCol w:w="9995"/>
      </w:tblGrid>
      <w:tr w:rsidR="0089447A" w14:paraId="4F950BE6" w14:textId="77777777" w:rsidTr="0089447A">
        <w:tc>
          <w:tcPr>
            <w:tcW w:w="9995" w:type="dxa"/>
          </w:tcPr>
          <w:p w14:paraId="1BD6AE4F" w14:textId="77777777" w:rsidR="0089447A" w:rsidRPr="0089447A" w:rsidRDefault="0089447A" w:rsidP="0089447A">
            <w:pPr>
              <w:pStyle w:val="ae"/>
              <w:numPr>
                <w:ilvl w:val="0"/>
                <w:numId w:val="50"/>
              </w:numPr>
              <w:pBdr>
                <w:bottom w:val="none" w:sz="0" w:space="0" w:color="auto"/>
              </w:pBdr>
              <w:tabs>
                <w:tab w:val="clear" w:pos="4153"/>
                <w:tab w:val="clear" w:pos="8306"/>
              </w:tabs>
              <w:overflowPunct w:val="0"/>
              <w:autoSpaceDE w:val="0"/>
              <w:autoSpaceDN w:val="0"/>
              <w:adjustRightInd w:val="0"/>
              <w:snapToGrid/>
              <w:spacing w:after="0"/>
              <w:ind w:hanging="720"/>
              <w:jc w:val="left"/>
              <w:textAlignment w:val="baseline"/>
              <w:rPr>
                <w:rFonts w:eastAsia="宋体" w:cs="Arial"/>
                <w:bCs/>
                <w:color w:val="0070C0"/>
                <w:sz w:val="20"/>
                <w:lang w:eastAsia="zh-CN"/>
              </w:rPr>
            </w:pPr>
            <w:r w:rsidRPr="0089447A">
              <w:rPr>
                <w:rFonts w:eastAsia="宋体" w:cs="Arial"/>
                <w:bCs/>
                <w:color w:val="0070C0"/>
                <w:sz w:val="20"/>
                <w:lang w:eastAsia="zh-CN"/>
              </w:rPr>
              <w:t>For the overlapping CBWs from UE perspective (two cell approach / CA approach):</w:t>
            </w:r>
          </w:p>
          <w:p w14:paraId="15E9BE01" w14:textId="77777777" w:rsidR="0089447A" w:rsidRPr="0089447A" w:rsidRDefault="0089447A" w:rsidP="0089447A">
            <w:pPr>
              <w:pStyle w:val="ae"/>
              <w:numPr>
                <w:ilvl w:val="1"/>
                <w:numId w:val="50"/>
              </w:numPr>
              <w:pBdr>
                <w:bottom w:val="none" w:sz="0" w:space="0" w:color="auto"/>
              </w:pBdr>
              <w:tabs>
                <w:tab w:val="clear" w:pos="4153"/>
                <w:tab w:val="clear" w:pos="8306"/>
              </w:tabs>
              <w:overflowPunct w:val="0"/>
              <w:autoSpaceDE w:val="0"/>
              <w:autoSpaceDN w:val="0"/>
              <w:adjustRightInd w:val="0"/>
              <w:snapToGrid/>
              <w:spacing w:after="0"/>
              <w:ind w:left="851" w:hanging="425"/>
              <w:jc w:val="left"/>
              <w:textAlignment w:val="baseline"/>
              <w:rPr>
                <w:color w:val="0070C0"/>
              </w:rPr>
            </w:pPr>
            <w:r w:rsidRPr="0089447A">
              <w:rPr>
                <w:rFonts w:eastAsia="宋体" w:cs="Arial"/>
                <w:color w:val="0070C0"/>
                <w:sz w:val="20"/>
                <w:lang w:eastAsia="zh-CN"/>
              </w:rPr>
              <w:t xml:space="preserve">if two different Bandwidth Parts for the UE are overlapping, and both contain a subset of CSI-RS resources </w:t>
            </w:r>
            <w:r w:rsidRPr="0089447A">
              <w:rPr>
                <w:rFonts w:eastAsia="宋体" w:cs="Arial"/>
                <w:color w:val="0070C0"/>
                <w:sz w:val="20"/>
                <w:lang w:eastAsia="zh-CN"/>
              </w:rPr>
              <w:lastRenderedPageBreak/>
              <w:t>that are mapped to the same subset of overlapping RBs for the same UE, please clarify how does UE report CSI for the overlapped part, e.g. does UE report CSI for each cell separately, or just once for the overlapping part, or something else?</w:t>
            </w:r>
          </w:p>
          <w:p w14:paraId="4236E8FD" w14:textId="1696B5A1" w:rsidR="0089447A" w:rsidRDefault="0089447A" w:rsidP="0089447A">
            <w:pPr>
              <w:pStyle w:val="ae"/>
              <w:numPr>
                <w:ilvl w:val="1"/>
                <w:numId w:val="50"/>
              </w:numPr>
              <w:pBdr>
                <w:bottom w:val="none" w:sz="0" w:space="0" w:color="auto"/>
              </w:pBdr>
              <w:tabs>
                <w:tab w:val="clear" w:pos="4153"/>
                <w:tab w:val="clear" w:pos="8306"/>
              </w:tabs>
              <w:overflowPunct w:val="0"/>
              <w:autoSpaceDE w:val="0"/>
              <w:autoSpaceDN w:val="0"/>
              <w:adjustRightInd w:val="0"/>
              <w:snapToGrid/>
              <w:spacing w:after="0"/>
              <w:ind w:left="851" w:hanging="425"/>
              <w:jc w:val="left"/>
              <w:textAlignment w:val="baseline"/>
            </w:pPr>
            <w:r w:rsidRPr="0089447A">
              <w:rPr>
                <w:rFonts w:eastAsia="宋体" w:cs="Arial"/>
                <w:color w:val="0070C0"/>
                <w:sz w:val="20"/>
                <w:lang w:eastAsia="zh-CN"/>
              </w:rPr>
              <w:t>clarify how PDCCH reception in overlapped CA when PCell and SCell PDCCH resources partially overlap and whether there are any impacts to cross-carrier scheduling</w:t>
            </w:r>
          </w:p>
        </w:tc>
      </w:tr>
    </w:tbl>
    <w:p w14:paraId="6947F854" w14:textId="5CBC49A7" w:rsidR="000C0F5C" w:rsidRDefault="00460090" w:rsidP="00015639">
      <w:r>
        <w:lastRenderedPageBreak/>
        <w:t>In our view, the</w:t>
      </w:r>
      <w:r w:rsidR="0089447A">
        <w:t xml:space="preserve"> </w:t>
      </w:r>
      <w:r>
        <w:t xml:space="preserve">two questions are not RAN2 related, considering RAN1 already provided their answer, in RAN2’s response, we suggest to simply echo the concern on UE capability aspect.  </w:t>
      </w:r>
    </w:p>
    <w:p w14:paraId="1E84F422" w14:textId="39FCD2F6" w:rsidR="00460090" w:rsidRPr="006C08A6" w:rsidRDefault="00460090" w:rsidP="00460090">
      <w:pPr>
        <w:outlineLvl w:val="1"/>
        <w:rPr>
          <w:b/>
          <w:u w:val="single"/>
        </w:rPr>
      </w:pPr>
      <w:r w:rsidRPr="004869FD">
        <w:rPr>
          <w:b/>
          <w:highlight w:val="green"/>
          <w:u w:val="single"/>
        </w:rPr>
        <w:t>Solution#</w:t>
      </w:r>
      <w:r>
        <w:rPr>
          <w:b/>
          <w:highlight w:val="green"/>
          <w:u w:val="single"/>
        </w:rPr>
        <w:t>4</w:t>
      </w:r>
      <w:r w:rsidRPr="004869FD">
        <w:rPr>
          <w:b/>
          <w:highlight w:val="green"/>
          <w:u w:val="single"/>
        </w:rPr>
        <w:t xml:space="preserve">: Overlapping CBWs from </w:t>
      </w:r>
      <w:r>
        <w:rPr>
          <w:b/>
          <w:highlight w:val="green"/>
          <w:u w:val="single"/>
        </w:rPr>
        <w:t>UE perspective (one</w:t>
      </w:r>
      <w:r w:rsidRPr="004869FD">
        <w:rPr>
          <w:b/>
          <w:highlight w:val="green"/>
          <w:u w:val="single"/>
        </w:rPr>
        <w:t xml:space="preserve"> cell approach)</w:t>
      </w:r>
    </w:p>
    <w:p w14:paraId="2DDBCDDA" w14:textId="4E76F965" w:rsidR="005711B6" w:rsidRDefault="005711B6" w:rsidP="00015639">
      <w:r>
        <w:t>According to TS 38.344, solution #4 is illustrated in Figure 4 (take 7MHz NR cell as an example):</w:t>
      </w:r>
    </w:p>
    <w:p w14:paraId="6DD97517" w14:textId="454A8576" w:rsidR="002B77B2" w:rsidRDefault="005711B6" w:rsidP="005711B6">
      <w:pPr>
        <w:jc w:val="center"/>
      </w:pPr>
      <w:r>
        <w:object w:dxaOrig="4594" w:dyaOrig="2254" w14:anchorId="00D33CB6">
          <v:shape id="_x0000_i1028" type="#_x0000_t75" style="width:229.75pt;height:112.7pt" o:ole="">
            <v:imagedata r:id="rId15" o:title=""/>
          </v:shape>
          <o:OLEObject Type="Embed" ProgID="Visio.Drawing.11" ShapeID="_x0000_i1028" DrawAspect="Content" ObjectID="_1696409019" r:id="rId16"/>
        </w:object>
      </w:r>
    </w:p>
    <w:p w14:paraId="24BB1F93" w14:textId="72F22CD7" w:rsidR="005711B6" w:rsidRDefault="005711B6" w:rsidP="005711B6">
      <w:pPr>
        <w:jc w:val="center"/>
      </w:pPr>
      <w:r>
        <w:t>Figure 4 Illustration of Solution#4</w:t>
      </w:r>
    </w:p>
    <w:p w14:paraId="4A6DD7E9" w14:textId="36647EAD" w:rsidR="002B77B2" w:rsidRDefault="005711B6" w:rsidP="00015639">
      <w:r>
        <w:t xml:space="preserve">Solution#4 only works when UE is equipped with (at least) two RF chains. </w:t>
      </w:r>
      <w:r w:rsidRPr="005711B6">
        <w:t>For example, the RF#1</w:t>
      </w:r>
      <w:r>
        <w:t>(main RF )</w:t>
      </w:r>
      <w:r w:rsidRPr="005711B6">
        <w:t xml:space="preserve"> is </w:t>
      </w:r>
      <w:r>
        <w:t xml:space="preserve">configured with </w:t>
      </w:r>
      <w:r w:rsidRPr="005711B6">
        <w:t>lower 5MHz bandwidth and the FR#2</w:t>
      </w:r>
      <w:r w:rsidR="00DA326B">
        <w:t xml:space="preserve"> (additional RF)</w:t>
      </w:r>
      <w:r w:rsidRPr="005711B6">
        <w:t xml:space="preserve"> is </w:t>
      </w:r>
      <w:r w:rsidR="00DA326B">
        <w:t>configured with</w:t>
      </w:r>
      <w:r w:rsidRPr="005711B6">
        <w:t xml:space="preserve"> higher 5MHz bandwidth. From </w:t>
      </w:r>
      <w:r>
        <w:t>network</w:t>
      </w:r>
      <w:r w:rsidRPr="005711B6">
        <w:t xml:space="preserve"> perspective, </w:t>
      </w:r>
      <w:r>
        <w:t>there is still</w:t>
      </w:r>
      <w:r w:rsidRPr="005711B6">
        <w:t xml:space="preserve"> one 7MHz cell. </w:t>
      </w:r>
      <w:r w:rsidR="00DA326B">
        <w:t>And from UE perspecive, the two RF carriers are treated as a single cell</w:t>
      </w:r>
      <w:r w:rsidRPr="005711B6">
        <w:t>.</w:t>
      </w:r>
    </w:p>
    <w:p w14:paraId="18775DA2" w14:textId="77777777" w:rsidR="00DA326B" w:rsidRDefault="00DA326B" w:rsidP="00DA326B">
      <w:r>
        <w:t>For solution#4, the following questions are asked by RAN4:</w:t>
      </w:r>
    </w:p>
    <w:tbl>
      <w:tblPr>
        <w:tblStyle w:val="af5"/>
        <w:tblW w:w="0" w:type="auto"/>
        <w:tblLook w:val="04A0" w:firstRow="1" w:lastRow="0" w:firstColumn="1" w:lastColumn="0" w:noHBand="0" w:noVBand="1"/>
      </w:tblPr>
      <w:tblGrid>
        <w:gridCol w:w="9995"/>
      </w:tblGrid>
      <w:tr w:rsidR="00DA326B" w14:paraId="006E7E24" w14:textId="77777777" w:rsidTr="00DA326B">
        <w:tc>
          <w:tcPr>
            <w:tcW w:w="9995" w:type="dxa"/>
          </w:tcPr>
          <w:p w14:paraId="60534765" w14:textId="77777777" w:rsidR="00DA326B" w:rsidRPr="00DA326B" w:rsidRDefault="00DA326B" w:rsidP="00DA326B">
            <w:pPr>
              <w:pStyle w:val="ae"/>
              <w:numPr>
                <w:ilvl w:val="0"/>
                <w:numId w:val="50"/>
              </w:numPr>
              <w:pBdr>
                <w:bottom w:val="none" w:sz="0" w:space="0" w:color="auto"/>
              </w:pBdr>
              <w:tabs>
                <w:tab w:val="clear" w:pos="4153"/>
                <w:tab w:val="clear" w:pos="8306"/>
              </w:tabs>
              <w:overflowPunct w:val="0"/>
              <w:autoSpaceDE w:val="0"/>
              <w:autoSpaceDN w:val="0"/>
              <w:adjustRightInd w:val="0"/>
              <w:snapToGrid/>
              <w:spacing w:after="0"/>
              <w:ind w:hanging="720"/>
              <w:jc w:val="left"/>
              <w:textAlignment w:val="baseline"/>
              <w:rPr>
                <w:rFonts w:eastAsia="宋体" w:cs="Arial"/>
                <w:b/>
                <w:color w:val="0070C0"/>
                <w:sz w:val="20"/>
                <w:lang w:eastAsia="zh-CN"/>
              </w:rPr>
            </w:pPr>
            <w:r w:rsidRPr="00DA326B">
              <w:rPr>
                <w:rFonts w:eastAsia="宋体" w:cs="Arial"/>
                <w:color w:val="0070C0"/>
                <w:sz w:val="20"/>
                <w:lang w:eastAsia="zh-CN"/>
              </w:rPr>
              <w:t>For the overlapping CBWs from UE perspective (one cell approach):</w:t>
            </w:r>
          </w:p>
          <w:p w14:paraId="75E6CAAD" w14:textId="77777777" w:rsidR="00DA326B" w:rsidRPr="00DA326B" w:rsidRDefault="00DA326B" w:rsidP="00DA326B">
            <w:pPr>
              <w:pStyle w:val="ae"/>
              <w:numPr>
                <w:ilvl w:val="1"/>
                <w:numId w:val="50"/>
              </w:numPr>
              <w:pBdr>
                <w:bottom w:val="none" w:sz="0" w:space="0" w:color="auto"/>
              </w:pBdr>
              <w:tabs>
                <w:tab w:val="clear" w:pos="4153"/>
                <w:tab w:val="clear" w:pos="8306"/>
              </w:tabs>
              <w:overflowPunct w:val="0"/>
              <w:autoSpaceDE w:val="0"/>
              <w:autoSpaceDN w:val="0"/>
              <w:adjustRightInd w:val="0"/>
              <w:snapToGrid/>
              <w:spacing w:after="0"/>
              <w:ind w:left="851" w:hanging="425"/>
              <w:jc w:val="left"/>
              <w:textAlignment w:val="baseline"/>
              <w:rPr>
                <w:rFonts w:eastAsia="宋体" w:cs="Arial"/>
                <w:color w:val="0070C0"/>
                <w:sz w:val="20"/>
                <w:lang w:eastAsia="zh-CN"/>
              </w:rPr>
            </w:pPr>
            <w:r w:rsidRPr="00DA326B">
              <w:rPr>
                <w:rFonts w:eastAsia="宋体" w:cs="Arial"/>
                <w:color w:val="0070C0"/>
                <w:sz w:val="20"/>
                <w:lang w:eastAsia="zh-CN"/>
              </w:rPr>
              <w:t>Is it possible to configure the UE with a dedicated carrierBandwidth in the ServingCellConfig that is wider than/partially outside the carrierBandwidth configured in SIB1?</w:t>
            </w:r>
          </w:p>
          <w:p w14:paraId="2C2AC905" w14:textId="55B956FC" w:rsidR="00DA326B" w:rsidRPr="007B1FB5" w:rsidRDefault="00DA326B" w:rsidP="00015639">
            <w:pPr>
              <w:pStyle w:val="ae"/>
              <w:numPr>
                <w:ilvl w:val="1"/>
                <w:numId w:val="50"/>
              </w:numPr>
              <w:pBdr>
                <w:bottom w:val="none" w:sz="0" w:space="0" w:color="auto"/>
              </w:pBdr>
              <w:tabs>
                <w:tab w:val="clear" w:pos="4153"/>
                <w:tab w:val="clear" w:pos="8306"/>
              </w:tabs>
              <w:overflowPunct w:val="0"/>
              <w:autoSpaceDE w:val="0"/>
              <w:autoSpaceDN w:val="0"/>
              <w:adjustRightInd w:val="0"/>
              <w:snapToGrid/>
              <w:spacing w:after="0"/>
              <w:ind w:left="851" w:hanging="425"/>
              <w:jc w:val="left"/>
              <w:textAlignment w:val="baseline"/>
              <w:rPr>
                <w:rFonts w:eastAsia="宋体" w:cs="Arial"/>
                <w:color w:val="0070C0"/>
                <w:sz w:val="20"/>
                <w:lang w:eastAsia="zh-CN"/>
              </w:rPr>
            </w:pPr>
            <w:r w:rsidRPr="00DA326B">
              <w:rPr>
                <w:rFonts w:eastAsia="宋体" w:cs="Arial"/>
                <w:color w:val="0070C0"/>
                <w:sz w:val="20"/>
                <w:lang w:eastAsia="zh-CN"/>
              </w:rPr>
              <w:t>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carrier PRBs and additional carrier PRBs.</w:t>
            </w:r>
          </w:p>
        </w:tc>
      </w:tr>
    </w:tbl>
    <w:p w14:paraId="5BED3948" w14:textId="1E507AB5" w:rsidR="007B1FB5" w:rsidRDefault="007B1FB5" w:rsidP="00015639">
      <w:r>
        <w:t>For the first question, the SCS-specificCarrierList in SIB1 is cell specific that is treated as cell/BS bandwidth, and after obtains UE capability, network will configure UE specific channel BW to UE. In current RAN4 spec, it defines the following principle:</w:t>
      </w:r>
    </w:p>
    <w:p w14:paraId="359A5A61" w14:textId="6FA9E7D5" w:rsidR="007B1FB5" w:rsidRPr="007B1FB5" w:rsidRDefault="007B1FB5" w:rsidP="00015639">
      <w:pPr>
        <w:rPr>
          <w:i/>
          <w:color w:val="0070C0"/>
        </w:rPr>
      </w:pPr>
      <w:r w:rsidRPr="007B1FB5">
        <w:rPr>
          <w:i/>
          <w:color w:val="0070C0"/>
        </w:rPr>
        <w:t>TS 38.101-1 Section 5.3.1</w:t>
      </w:r>
    </w:p>
    <w:p w14:paraId="7D8A0C15" w14:textId="77777777" w:rsidR="007B1FB5" w:rsidRPr="007B1FB5" w:rsidRDefault="007B1FB5" w:rsidP="007B1FB5">
      <w:pPr>
        <w:spacing w:after="160" w:line="256" w:lineRule="auto"/>
        <w:rPr>
          <w:rFonts w:eastAsia="Yu Mincho"/>
          <w:i/>
          <w:color w:val="0070C0"/>
          <w:u w:val="single"/>
        </w:rPr>
      </w:pPr>
      <w:r w:rsidRPr="007B1FB5">
        <w:rPr>
          <w:rFonts w:eastAsia="Yu Mincho"/>
          <w:i/>
          <w:color w:val="0070C0"/>
          <w:u w:val="single"/>
        </w:rPr>
        <w:t>The placement of the UE channel bandwidth for each UE carrier is flexible but can only be completely within the BS channel bandwidth.</w:t>
      </w:r>
    </w:p>
    <w:p w14:paraId="30A1BC20" w14:textId="7BC7E5BB" w:rsidR="007B1FB5" w:rsidRDefault="007B1FB5" w:rsidP="00015639">
      <w:r>
        <w:t xml:space="preserve">Based on this, network is not allowed to configure UE specific channel BW wider than or partially outside the BS channel bandwidth. So, our answer to the first question is “No”. </w:t>
      </w:r>
    </w:p>
    <w:p w14:paraId="63A2A393" w14:textId="2F1CE13C" w:rsidR="007B1FB5" w:rsidRDefault="007B1FB5" w:rsidP="007B1FB5">
      <w:pPr>
        <w:ind w:left="1418" w:hanging="1418"/>
      </w:pPr>
      <w:r>
        <w:rPr>
          <w:b/>
        </w:rPr>
        <w:t>Observation 5: Based on the principle in RAN4 spec, network should ensure the configured UE specific channel bandwidth is completely within the BS channel bandwidth.</w:t>
      </w:r>
    </w:p>
    <w:p w14:paraId="7300D67D" w14:textId="3B53CB89" w:rsidR="002B77B2" w:rsidRDefault="007B1FB5" w:rsidP="00015639">
      <w:r>
        <w:lastRenderedPageBreak/>
        <w:t xml:space="preserve">For the second question, we think RAN2 function does not need to know the split of PRBs between the two RFs, if it is still treated as a single cell, so RAN4 can rely on the response from RAN1. </w:t>
      </w:r>
    </w:p>
    <w:p w14:paraId="25FDBB91" w14:textId="67B9F63C" w:rsidR="00D61078" w:rsidRDefault="00D61078" w:rsidP="00015639">
      <w:r>
        <w:t>Based on above analysis on solution#1~4, we have provided our draft reply in [3].</w:t>
      </w:r>
    </w:p>
    <w:p w14:paraId="7D5A327D" w14:textId="4481491D" w:rsidR="001D673D" w:rsidRPr="00087C07" w:rsidRDefault="007A0C76" w:rsidP="00087C07">
      <w:pPr>
        <w:ind w:left="1418" w:hanging="1418"/>
      </w:pPr>
      <w:r>
        <w:rPr>
          <w:b/>
        </w:rPr>
        <w:t>Proposal 1: Approve the draft reply LS in [3].</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224C4479" w14:textId="77777777" w:rsidR="00263CA7" w:rsidRDefault="00263CA7" w:rsidP="00263CA7">
      <w:pPr>
        <w:ind w:left="1418" w:hanging="1418"/>
      </w:pPr>
      <w:bookmarkStart w:id="2" w:name="_Toc535476034"/>
      <w:r>
        <w:rPr>
          <w:b/>
        </w:rPr>
        <w:t>Observation 1: In RAN2 specification, there is no limitation on the UL carrier position for UE specific channel bandwidth in symmetric operating bands with a fixed duplex distance and asymmetric UL/DL channel bandwidth</w:t>
      </w:r>
      <w:r>
        <w:rPr>
          <w:rFonts w:hint="eastAsia"/>
          <w:b/>
        </w:rPr>
        <w:t>.</w:t>
      </w:r>
    </w:p>
    <w:p w14:paraId="065F5B50" w14:textId="77777777" w:rsidR="00263CA7" w:rsidRPr="00192F7A" w:rsidRDefault="00263CA7" w:rsidP="00263CA7">
      <w:pPr>
        <w:ind w:left="1418" w:hanging="1418"/>
        <w:rPr>
          <w:b/>
        </w:rPr>
      </w:pPr>
      <w:r>
        <w:rPr>
          <w:b/>
        </w:rPr>
        <w:t>Observation 2: From RAN2 perspective, configuring a carrier that is not fully contained in the NR band can be regarded as invalid configuration, and it is unclear how UE behaves in such case</w:t>
      </w:r>
      <w:r>
        <w:rPr>
          <w:rFonts w:hint="eastAsia"/>
          <w:b/>
        </w:rPr>
        <w:t>.</w:t>
      </w:r>
      <w:r w:rsidRPr="001D673D">
        <w:t xml:space="preserve"> </w:t>
      </w:r>
    </w:p>
    <w:p w14:paraId="67D4137C" w14:textId="77777777" w:rsidR="00263CA7" w:rsidRDefault="00263CA7" w:rsidP="00263CA7">
      <w:pPr>
        <w:ind w:left="1418" w:hanging="1418"/>
      </w:pPr>
      <w:r>
        <w:rPr>
          <w:b/>
        </w:rPr>
        <w:t>Observation 3: From RAN2 perspective, RRC_CONNECTED UEs are configured with UE specific channel bandwidth through dedicated signalling, so even if single SSB and CORESET are deployed, it is feasible to configure UEs with different channel BWs on the different parts of the BS channel</w:t>
      </w:r>
      <w:r>
        <w:rPr>
          <w:rFonts w:hint="eastAsia"/>
          <w:b/>
        </w:rPr>
        <w:t>.</w:t>
      </w:r>
    </w:p>
    <w:p w14:paraId="69545F23" w14:textId="77777777" w:rsidR="00263CA7" w:rsidRDefault="00263CA7" w:rsidP="00263CA7">
      <w:pPr>
        <w:ind w:left="1418" w:hanging="1418"/>
      </w:pPr>
      <w:r>
        <w:rPr>
          <w:b/>
        </w:rPr>
        <w:t xml:space="preserve">Observation 4: From RAN2 perspective, RAN2 specification does not prohibit network to transmit two staggered SSBs and CORESET#0, but the two SSBs and CORESET#0 should be associated to separate SIB1 (with different NCGI), so from UE perspective, they are two different cells. </w:t>
      </w:r>
    </w:p>
    <w:p w14:paraId="0160E8D6" w14:textId="77777777" w:rsidR="00263CA7" w:rsidRDefault="00263CA7" w:rsidP="00263CA7">
      <w:pPr>
        <w:ind w:left="1418" w:hanging="1418"/>
      </w:pPr>
      <w:r>
        <w:rPr>
          <w:b/>
        </w:rPr>
        <w:t>Observation 5: Based on the principle in RAN4 spec, network should ensure the configured UE specific channel bandwidth is completely within the BS channel bandwidth.</w:t>
      </w:r>
    </w:p>
    <w:p w14:paraId="574B56A5" w14:textId="77777777" w:rsidR="00263CA7" w:rsidRDefault="00263CA7" w:rsidP="00263CA7">
      <w:pPr>
        <w:ind w:left="1418" w:hanging="1418"/>
      </w:pPr>
      <w:r>
        <w:rPr>
          <w:b/>
        </w:rPr>
        <w:t>Proposal 1: Approve the draft reply LS in [3].</w:t>
      </w:r>
    </w:p>
    <w:bookmarkEnd w:id="2"/>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45083B40" w14:textId="6C7D8749" w:rsidR="00E84692" w:rsidRDefault="00F7287A" w:rsidP="00AE0914">
      <w:pPr>
        <w:spacing w:before="156"/>
        <w:ind w:left="284" w:hanging="284"/>
      </w:pPr>
      <w:r>
        <w:t xml:space="preserve">[1] </w:t>
      </w:r>
      <w:r w:rsidR="00D61078">
        <w:t>R2-2109353/</w:t>
      </w:r>
      <w:r w:rsidR="00FA5AD8" w:rsidRPr="00FA5AD8">
        <w:t>R4-2114751, LS on specification impact for methods on efficient utilization of licensed spectrum that is not aligned with existing NR channel bandw</w:t>
      </w:r>
      <w:r w:rsidR="000D5498">
        <w:t>idths, RAN4, RAN4#100-e meeting;</w:t>
      </w:r>
    </w:p>
    <w:p w14:paraId="595FF1D0" w14:textId="35AF19C6" w:rsidR="00FA5AD8" w:rsidRDefault="00FA5AD8" w:rsidP="00AE0914">
      <w:pPr>
        <w:spacing w:before="156"/>
        <w:ind w:left="284" w:hanging="284"/>
      </w:pPr>
      <w:r>
        <w:t>[2] R</w:t>
      </w:r>
      <w:r w:rsidR="00D61078">
        <w:t>1</w:t>
      </w:r>
      <w:r>
        <w:t>-21</w:t>
      </w:r>
      <w:r w:rsidR="00D61078">
        <w:t xml:space="preserve">10565 </w:t>
      </w:r>
      <w:r w:rsidR="00D61078" w:rsidRPr="00D61078">
        <w:t>Reply LS on specification impact for methods on efficient utilization of licensed spectrum that is not aligned with existing NR channel bandwidths</w:t>
      </w:r>
      <w:r w:rsidR="00D61078">
        <w:t xml:space="preserve">   From RAN1, To RAN4, RAN2</w:t>
      </w:r>
      <w:r w:rsidR="000D5498">
        <w:t>;</w:t>
      </w:r>
    </w:p>
    <w:p w14:paraId="642853FB" w14:textId="69B786A4" w:rsidR="00D61078" w:rsidRDefault="00D61078" w:rsidP="00AE0914">
      <w:pPr>
        <w:spacing w:before="156"/>
        <w:ind w:left="284" w:hanging="284"/>
      </w:pPr>
      <w:r>
        <w:t>[3] R2-21</w:t>
      </w:r>
      <w:r w:rsidR="00F806EF">
        <w:t>09890</w:t>
      </w:r>
      <w:r>
        <w:t xml:space="preserve"> </w:t>
      </w:r>
      <w:r w:rsidRPr="00D61078">
        <w:t>Reply LS on specification impact for methods on efficient utilization of licensed spectrum that is not aligned with existing NR channel bandwidths</w:t>
      </w:r>
      <w:r>
        <w:t xml:space="preserve">   From RAN2, To </w:t>
      </w:r>
      <w:r w:rsidR="00BB73A4">
        <w:t>RAN4, RAN1.</w:t>
      </w:r>
      <w:bookmarkStart w:id="3" w:name="_GoBack"/>
      <w:bookmarkEnd w:id="3"/>
    </w:p>
    <w:sectPr w:rsidR="00D61078" w:rsidSect="00DE2F3B">
      <w:headerReference w:type="even" r:id="rId17"/>
      <w:headerReference w:type="default" r:id="rId18"/>
      <w:footerReference w:type="even" r:id="rId19"/>
      <w:footerReference w:type="default" r:id="rId20"/>
      <w:headerReference w:type="first" r:id="rId21"/>
      <w:footerReference w:type="first" r:id="rId22"/>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0F9D7" w14:textId="77777777" w:rsidR="00EC6292" w:rsidRDefault="00EC6292">
      <w:pPr>
        <w:spacing w:after="0"/>
      </w:pPr>
      <w:r>
        <w:separator/>
      </w:r>
    </w:p>
  </w:endnote>
  <w:endnote w:type="continuationSeparator" w:id="0">
    <w:p w14:paraId="130691B4" w14:textId="77777777" w:rsidR="00EC6292" w:rsidRDefault="00EC62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4D3182" w:rsidRDefault="004D318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4D3182" w:rsidRDefault="004D318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4D3182" w:rsidRDefault="004D318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4D3182" w:rsidRDefault="004D318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AEEF2" w14:textId="77777777" w:rsidR="00EC6292" w:rsidRDefault="00EC6292">
      <w:pPr>
        <w:spacing w:after="0"/>
      </w:pPr>
      <w:r>
        <w:separator/>
      </w:r>
    </w:p>
  </w:footnote>
  <w:footnote w:type="continuationSeparator" w:id="0">
    <w:p w14:paraId="140E185F" w14:textId="77777777" w:rsidR="00EC6292" w:rsidRDefault="00EC62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4D3182" w:rsidRDefault="004D318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4D3182" w:rsidRDefault="004D318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4D3182" w:rsidRDefault="004D318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15557FE"/>
    <w:multiLevelType w:val="hybridMultilevel"/>
    <w:tmpl w:val="7C400808"/>
    <w:lvl w:ilvl="0" w:tplc="B1162C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4">
    <w:nsid w:val="02A63EDB"/>
    <w:multiLevelType w:val="hybridMultilevel"/>
    <w:tmpl w:val="2924909E"/>
    <w:lvl w:ilvl="0" w:tplc="7EAAC602">
      <w:start w:val="1"/>
      <w:numFmt w:val="bullet"/>
      <w:lvlText w:val="-"/>
      <w:lvlJc w:val="left"/>
      <w:pPr>
        <w:ind w:left="1713" w:hanging="360"/>
      </w:pPr>
      <w:rPr>
        <w:rFonts w:ascii="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nsid w:val="02B87A23"/>
    <w:multiLevelType w:val="hybridMultilevel"/>
    <w:tmpl w:val="8FAC3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4C30C0"/>
    <w:multiLevelType w:val="hybridMultilevel"/>
    <w:tmpl w:val="DD22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0AFF043E"/>
    <w:multiLevelType w:val="hybridMultilevel"/>
    <w:tmpl w:val="A4A85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nsid w:val="0E1B5AE9"/>
    <w:multiLevelType w:val="hybridMultilevel"/>
    <w:tmpl w:val="E5F0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1C7545"/>
    <w:multiLevelType w:val="hybridMultilevel"/>
    <w:tmpl w:val="F2289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3317C2"/>
    <w:multiLevelType w:val="hybridMultilevel"/>
    <w:tmpl w:val="8FAC3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6CE1FF1"/>
    <w:multiLevelType w:val="hybridMultilevel"/>
    <w:tmpl w:val="45AE80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7E7E3D"/>
    <w:multiLevelType w:val="hybridMultilevel"/>
    <w:tmpl w:val="6B263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D67373F"/>
    <w:multiLevelType w:val="hybridMultilevel"/>
    <w:tmpl w:val="6E924A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D870971"/>
    <w:multiLevelType w:val="hybridMultilevel"/>
    <w:tmpl w:val="E180AB92"/>
    <w:lvl w:ilvl="0" w:tplc="04090005">
      <w:start w:val="1"/>
      <w:numFmt w:val="bullet"/>
      <w:lvlText w:val=""/>
      <w:lvlJc w:val="left"/>
      <w:pPr>
        <w:ind w:left="2097" w:hanging="360"/>
      </w:pPr>
      <w:rPr>
        <w:rFonts w:ascii="Wingdings" w:hAnsi="Wingdings" w:hint="default"/>
      </w:rPr>
    </w:lvl>
    <w:lvl w:ilvl="1" w:tplc="04090003" w:tentative="1">
      <w:start w:val="1"/>
      <w:numFmt w:val="bullet"/>
      <w:lvlText w:val="o"/>
      <w:lvlJc w:val="left"/>
      <w:pPr>
        <w:ind w:left="2817" w:hanging="360"/>
      </w:pPr>
      <w:rPr>
        <w:rFonts w:ascii="Courier New" w:hAnsi="Courier New" w:cs="Courier New" w:hint="default"/>
      </w:rPr>
    </w:lvl>
    <w:lvl w:ilvl="2" w:tplc="04090005" w:tentative="1">
      <w:start w:val="1"/>
      <w:numFmt w:val="bullet"/>
      <w:lvlText w:val=""/>
      <w:lvlJc w:val="left"/>
      <w:pPr>
        <w:ind w:left="3537" w:hanging="360"/>
      </w:pPr>
      <w:rPr>
        <w:rFonts w:ascii="Wingdings" w:hAnsi="Wingdings" w:hint="default"/>
      </w:rPr>
    </w:lvl>
    <w:lvl w:ilvl="3" w:tplc="04090001" w:tentative="1">
      <w:start w:val="1"/>
      <w:numFmt w:val="bullet"/>
      <w:lvlText w:val=""/>
      <w:lvlJc w:val="left"/>
      <w:pPr>
        <w:ind w:left="4257" w:hanging="360"/>
      </w:pPr>
      <w:rPr>
        <w:rFonts w:ascii="Symbol" w:hAnsi="Symbol" w:hint="default"/>
      </w:rPr>
    </w:lvl>
    <w:lvl w:ilvl="4" w:tplc="04090003" w:tentative="1">
      <w:start w:val="1"/>
      <w:numFmt w:val="bullet"/>
      <w:lvlText w:val="o"/>
      <w:lvlJc w:val="left"/>
      <w:pPr>
        <w:ind w:left="4977" w:hanging="360"/>
      </w:pPr>
      <w:rPr>
        <w:rFonts w:ascii="Courier New" w:hAnsi="Courier New" w:cs="Courier New" w:hint="default"/>
      </w:rPr>
    </w:lvl>
    <w:lvl w:ilvl="5" w:tplc="04090005" w:tentative="1">
      <w:start w:val="1"/>
      <w:numFmt w:val="bullet"/>
      <w:lvlText w:val=""/>
      <w:lvlJc w:val="left"/>
      <w:pPr>
        <w:ind w:left="5697" w:hanging="360"/>
      </w:pPr>
      <w:rPr>
        <w:rFonts w:ascii="Wingdings" w:hAnsi="Wingdings" w:hint="default"/>
      </w:rPr>
    </w:lvl>
    <w:lvl w:ilvl="6" w:tplc="04090001" w:tentative="1">
      <w:start w:val="1"/>
      <w:numFmt w:val="bullet"/>
      <w:lvlText w:val=""/>
      <w:lvlJc w:val="left"/>
      <w:pPr>
        <w:ind w:left="6417" w:hanging="360"/>
      </w:pPr>
      <w:rPr>
        <w:rFonts w:ascii="Symbol" w:hAnsi="Symbol" w:hint="default"/>
      </w:rPr>
    </w:lvl>
    <w:lvl w:ilvl="7" w:tplc="04090003" w:tentative="1">
      <w:start w:val="1"/>
      <w:numFmt w:val="bullet"/>
      <w:lvlText w:val="o"/>
      <w:lvlJc w:val="left"/>
      <w:pPr>
        <w:ind w:left="7137" w:hanging="360"/>
      </w:pPr>
      <w:rPr>
        <w:rFonts w:ascii="Courier New" w:hAnsi="Courier New" w:cs="Courier New" w:hint="default"/>
      </w:rPr>
    </w:lvl>
    <w:lvl w:ilvl="8" w:tplc="04090005" w:tentative="1">
      <w:start w:val="1"/>
      <w:numFmt w:val="bullet"/>
      <w:lvlText w:val=""/>
      <w:lvlJc w:val="left"/>
      <w:pPr>
        <w:ind w:left="7857" w:hanging="360"/>
      </w:pPr>
      <w:rPr>
        <w:rFonts w:ascii="Wingdings" w:hAnsi="Wingdings" w:hint="default"/>
      </w:rPr>
    </w:lvl>
  </w:abstractNum>
  <w:abstractNum w:abstractNumId="21">
    <w:nsid w:val="1F0A7E37"/>
    <w:multiLevelType w:val="hybridMultilevel"/>
    <w:tmpl w:val="D23E4C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ADA36E7"/>
    <w:multiLevelType w:val="hybridMultilevel"/>
    <w:tmpl w:val="16727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D98520D"/>
    <w:multiLevelType w:val="hybridMultilevel"/>
    <w:tmpl w:val="EAD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FBE47D7"/>
    <w:multiLevelType w:val="hybridMultilevel"/>
    <w:tmpl w:val="B3C064D6"/>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7">
    <w:nsid w:val="326B7766"/>
    <w:multiLevelType w:val="hybridMultilevel"/>
    <w:tmpl w:val="3884806C"/>
    <w:lvl w:ilvl="0" w:tplc="1F2AE56E">
      <w:numFmt w:val="bullet"/>
      <w:lvlText w:val="•"/>
      <w:lvlJc w:val="left"/>
      <w:pPr>
        <w:ind w:left="1500" w:hanging="114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64120D4"/>
    <w:multiLevelType w:val="hybridMultilevel"/>
    <w:tmpl w:val="D95A0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6632DC9"/>
    <w:multiLevelType w:val="hybridMultilevel"/>
    <w:tmpl w:val="31CCB4A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81112A8"/>
    <w:multiLevelType w:val="hybridMultilevel"/>
    <w:tmpl w:val="E75C37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0DF6D35"/>
    <w:multiLevelType w:val="hybridMultilevel"/>
    <w:tmpl w:val="C6C27964"/>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2">
    <w:nsid w:val="4A206653"/>
    <w:multiLevelType w:val="hybridMultilevel"/>
    <w:tmpl w:val="D21AD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nsid w:val="4E9C05E9"/>
    <w:multiLevelType w:val="hybridMultilevel"/>
    <w:tmpl w:val="F78A2FCE"/>
    <w:lvl w:ilvl="0" w:tplc="9B884C5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nsid w:val="5430724C"/>
    <w:multiLevelType w:val="hybridMultilevel"/>
    <w:tmpl w:val="3F0AC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4C00E0E"/>
    <w:multiLevelType w:val="hybridMultilevel"/>
    <w:tmpl w:val="E64EF3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92B0ED3"/>
    <w:multiLevelType w:val="hybridMultilevel"/>
    <w:tmpl w:val="BAAA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F66749"/>
    <w:multiLevelType w:val="hybridMultilevel"/>
    <w:tmpl w:val="41B41C0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1096BBA"/>
    <w:multiLevelType w:val="hybridMultilevel"/>
    <w:tmpl w:val="8FAC3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nsid w:val="622E4B25"/>
    <w:multiLevelType w:val="hybridMultilevel"/>
    <w:tmpl w:val="2B1E9A6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5">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286521F"/>
    <w:multiLevelType w:val="hybridMultilevel"/>
    <w:tmpl w:val="8FAC3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nsid w:val="7C603064"/>
    <w:multiLevelType w:val="hybridMultilevel"/>
    <w:tmpl w:val="79F64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5"/>
  </w:num>
  <w:num w:numId="3">
    <w:abstractNumId w:val="48"/>
  </w:num>
  <w:num w:numId="4">
    <w:abstractNumId w:val="33"/>
  </w:num>
  <w:num w:numId="5">
    <w:abstractNumId w:val="8"/>
  </w:num>
  <w:num w:numId="6">
    <w:abstractNumId w:val="22"/>
  </w:num>
  <w:num w:numId="7">
    <w:abstractNumId w:val="9"/>
  </w:num>
  <w:num w:numId="8">
    <w:abstractNumId w:val="44"/>
  </w:num>
  <w:num w:numId="9">
    <w:abstractNumId w:val="24"/>
  </w:num>
  <w:num w:numId="10">
    <w:abstractNumId w:val="14"/>
  </w:num>
  <w:num w:numId="11">
    <w:abstractNumId w:val="0"/>
  </w:num>
  <w:num w:numId="12">
    <w:abstractNumId w:val="36"/>
  </w:num>
  <w:num w:numId="13">
    <w:abstractNumId w:val="11"/>
  </w:num>
  <w:num w:numId="14">
    <w:abstractNumId w:val="3"/>
  </w:num>
  <w:num w:numId="15">
    <w:abstractNumId w:val="7"/>
  </w:num>
  <w:num w:numId="16">
    <w:abstractNumId w:val="34"/>
  </w:num>
  <w:num w:numId="17">
    <w:abstractNumId w:val="45"/>
  </w:num>
  <w:num w:numId="18">
    <w:abstractNumId w:val="37"/>
  </w:num>
  <w:num w:numId="19">
    <w:abstractNumId w:val="25"/>
  </w:num>
  <w:num w:numId="20">
    <w:abstractNumId w:val="46"/>
  </w:num>
  <w:num w:numId="21">
    <w:abstractNumId w:val="6"/>
  </w:num>
  <w:num w:numId="22">
    <w:abstractNumId w:val="10"/>
  </w:num>
  <w:num w:numId="23">
    <w:abstractNumId w:val="38"/>
  </w:num>
  <w:num w:numId="24">
    <w:abstractNumId w:val="21"/>
  </w:num>
  <w:num w:numId="25">
    <w:abstractNumId w:val="16"/>
  </w:num>
  <w:num w:numId="26">
    <w:abstractNumId w:val="31"/>
  </w:num>
  <w:num w:numId="27">
    <w:abstractNumId w:val="19"/>
  </w:num>
  <w:num w:numId="28">
    <w:abstractNumId w:val="30"/>
  </w:num>
  <w:num w:numId="29">
    <w:abstractNumId w:val="20"/>
  </w:num>
  <w:num w:numId="30">
    <w:abstractNumId w:val="42"/>
  </w:num>
  <w:num w:numId="31">
    <w:abstractNumId w:val="39"/>
  </w:num>
  <w:num w:numId="32">
    <w:abstractNumId w:val="32"/>
  </w:num>
  <w:num w:numId="33">
    <w:abstractNumId w:val="23"/>
  </w:num>
  <w:num w:numId="34">
    <w:abstractNumId w:val="12"/>
  </w:num>
  <w:num w:numId="35">
    <w:abstractNumId w:val="26"/>
  </w:num>
  <w:num w:numId="36">
    <w:abstractNumId w:val="43"/>
  </w:num>
  <w:num w:numId="37">
    <w:abstractNumId w:val="27"/>
  </w:num>
  <w:num w:numId="38">
    <w:abstractNumId w:val="2"/>
  </w:num>
  <w:num w:numId="39">
    <w:abstractNumId w:val="18"/>
  </w:num>
  <w:num w:numId="40">
    <w:abstractNumId w:val="29"/>
  </w:num>
  <w:num w:numId="41">
    <w:abstractNumId w:val="40"/>
  </w:num>
  <w:num w:numId="42">
    <w:abstractNumId w:val="4"/>
  </w:num>
  <w:num w:numId="43">
    <w:abstractNumId w:val="28"/>
  </w:num>
  <w:num w:numId="44">
    <w:abstractNumId w:val="13"/>
  </w:num>
  <w:num w:numId="45">
    <w:abstractNumId w:val="15"/>
  </w:num>
  <w:num w:numId="46">
    <w:abstractNumId w:val="49"/>
  </w:num>
  <w:num w:numId="47">
    <w:abstractNumId w:val="47"/>
  </w:num>
  <w:num w:numId="48">
    <w:abstractNumId w:val="5"/>
  </w:num>
  <w:num w:numId="49">
    <w:abstractNumId w:val="41"/>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CD9"/>
    <w:rsid w:val="00002F76"/>
    <w:rsid w:val="000044B4"/>
    <w:rsid w:val="0000505B"/>
    <w:rsid w:val="000055B1"/>
    <w:rsid w:val="00006867"/>
    <w:rsid w:val="00007F63"/>
    <w:rsid w:val="000103E7"/>
    <w:rsid w:val="0001235D"/>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2288"/>
    <w:rsid w:val="000563ED"/>
    <w:rsid w:val="00057DA8"/>
    <w:rsid w:val="00061447"/>
    <w:rsid w:val="00062DCF"/>
    <w:rsid w:val="0007093A"/>
    <w:rsid w:val="0007143C"/>
    <w:rsid w:val="0007205B"/>
    <w:rsid w:val="000720EB"/>
    <w:rsid w:val="0007392F"/>
    <w:rsid w:val="0007424D"/>
    <w:rsid w:val="000755A8"/>
    <w:rsid w:val="00075859"/>
    <w:rsid w:val="00075A4E"/>
    <w:rsid w:val="00076824"/>
    <w:rsid w:val="00076B12"/>
    <w:rsid w:val="000801E0"/>
    <w:rsid w:val="000804D4"/>
    <w:rsid w:val="0008122E"/>
    <w:rsid w:val="00082A3F"/>
    <w:rsid w:val="00082CAA"/>
    <w:rsid w:val="000831C0"/>
    <w:rsid w:val="00084128"/>
    <w:rsid w:val="00084609"/>
    <w:rsid w:val="00085044"/>
    <w:rsid w:val="00085BEB"/>
    <w:rsid w:val="000875C4"/>
    <w:rsid w:val="00087C07"/>
    <w:rsid w:val="00087EC3"/>
    <w:rsid w:val="0009084A"/>
    <w:rsid w:val="000909FD"/>
    <w:rsid w:val="000915A4"/>
    <w:rsid w:val="0009278C"/>
    <w:rsid w:val="0009293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0F5C"/>
    <w:rsid w:val="000C15C3"/>
    <w:rsid w:val="000C1B23"/>
    <w:rsid w:val="000C212A"/>
    <w:rsid w:val="000C2659"/>
    <w:rsid w:val="000C2690"/>
    <w:rsid w:val="000C2FA7"/>
    <w:rsid w:val="000C364E"/>
    <w:rsid w:val="000C46AE"/>
    <w:rsid w:val="000C5D4C"/>
    <w:rsid w:val="000C5D86"/>
    <w:rsid w:val="000C61B5"/>
    <w:rsid w:val="000C6CCF"/>
    <w:rsid w:val="000C7FC7"/>
    <w:rsid w:val="000D051F"/>
    <w:rsid w:val="000D18C5"/>
    <w:rsid w:val="000D1EF9"/>
    <w:rsid w:val="000D2BF9"/>
    <w:rsid w:val="000D370A"/>
    <w:rsid w:val="000D3944"/>
    <w:rsid w:val="000D40A5"/>
    <w:rsid w:val="000D5498"/>
    <w:rsid w:val="000D59AA"/>
    <w:rsid w:val="000D60F5"/>
    <w:rsid w:val="000D722D"/>
    <w:rsid w:val="000E1125"/>
    <w:rsid w:val="000E1940"/>
    <w:rsid w:val="000E1993"/>
    <w:rsid w:val="000E3141"/>
    <w:rsid w:val="000E3B8A"/>
    <w:rsid w:val="000E4C9C"/>
    <w:rsid w:val="000E5EFE"/>
    <w:rsid w:val="000E6AE2"/>
    <w:rsid w:val="000E6F57"/>
    <w:rsid w:val="000E719D"/>
    <w:rsid w:val="000F0A7B"/>
    <w:rsid w:val="000F222A"/>
    <w:rsid w:val="000F3B7E"/>
    <w:rsid w:val="000F451B"/>
    <w:rsid w:val="000F589E"/>
    <w:rsid w:val="000F7D5B"/>
    <w:rsid w:val="00100030"/>
    <w:rsid w:val="00102686"/>
    <w:rsid w:val="0010484A"/>
    <w:rsid w:val="00104C1F"/>
    <w:rsid w:val="00105BFC"/>
    <w:rsid w:val="00106BB7"/>
    <w:rsid w:val="00111C96"/>
    <w:rsid w:val="00111CE0"/>
    <w:rsid w:val="00111DF0"/>
    <w:rsid w:val="001135C5"/>
    <w:rsid w:val="001147C0"/>
    <w:rsid w:val="00114AAE"/>
    <w:rsid w:val="00114F44"/>
    <w:rsid w:val="00121FD8"/>
    <w:rsid w:val="001253A3"/>
    <w:rsid w:val="00126145"/>
    <w:rsid w:val="0012673B"/>
    <w:rsid w:val="001277F8"/>
    <w:rsid w:val="001301BE"/>
    <w:rsid w:val="00131F75"/>
    <w:rsid w:val="001323A5"/>
    <w:rsid w:val="0013288E"/>
    <w:rsid w:val="00134275"/>
    <w:rsid w:val="001349DF"/>
    <w:rsid w:val="00137B0E"/>
    <w:rsid w:val="00137D4E"/>
    <w:rsid w:val="001400A0"/>
    <w:rsid w:val="00140E7C"/>
    <w:rsid w:val="001413B6"/>
    <w:rsid w:val="00141835"/>
    <w:rsid w:val="00141F2A"/>
    <w:rsid w:val="00141FED"/>
    <w:rsid w:val="00142B26"/>
    <w:rsid w:val="00144D47"/>
    <w:rsid w:val="00144E28"/>
    <w:rsid w:val="00145AFF"/>
    <w:rsid w:val="00147740"/>
    <w:rsid w:val="00150BAB"/>
    <w:rsid w:val="00151B91"/>
    <w:rsid w:val="00153109"/>
    <w:rsid w:val="00155054"/>
    <w:rsid w:val="00156072"/>
    <w:rsid w:val="0015657D"/>
    <w:rsid w:val="00160A40"/>
    <w:rsid w:val="00160DA4"/>
    <w:rsid w:val="001627D9"/>
    <w:rsid w:val="0016373F"/>
    <w:rsid w:val="00163C8F"/>
    <w:rsid w:val="00164CA7"/>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2F7A"/>
    <w:rsid w:val="001930BE"/>
    <w:rsid w:val="0019400F"/>
    <w:rsid w:val="00194210"/>
    <w:rsid w:val="0019547D"/>
    <w:rsid w:val="00195E1F"/>
    <w:rsid w:val="00196645"/>
    <w:rsid w:val="00197997"/>
    <w:rsid w:val="001A0C8F"/>
    <w:rsid w:val="001A36A8"/>
    <w:rsid w:val="001A36F7"/>
    <w:rsid w:val="001A384E"/>
    <w:rsid w:val="001A3C20"/>
    <w:rsid w:val="001A3EF6"/>
    <w:rsid w:val="001A4015"/>
    <w:rsid w:val="001A6AFD"/>
    <w:rsid w:val="001A6EDC"/>
    <w:rsid w:val="001A7281"/>
    <w:rsid w:val="001B1565"/>
    <w:rsid w:val="001B21A1"/>
    <w:rsid w:val="001B337C"/>
    <w:rsid w:val="001B5AE5"/>
    <w:rsid w:val="001B7027"/>
    <w:rsid w:val="001B7C67"/>
    <w:rsid w:val="001C0CED"/>
    <w:rsid w:val="001C1105"/>
    <w:rsid w:val="001C16DD"/>
    <w:rsid w:val="001C17C6"/>
    <w:rsid w:val="001C18D3"/>
    <w:rsid w:val="001C22DE"/>
    <w:rsid w:val="001C27C7"/>
    <w:rsid w:val="001C3C4C"/>
    <w:rsid w:val="001C6C19"/>
    <w:rsid w:val="001C7B80"/>
    <w:rsid w:val="001D18C3"/>
    <w:rsid w:val="001D2914"/>
    <w:rsid w:val="001D2FB0"/>
    <w:rsid w:val="001D673D"/>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B70"/>
    <w:rsid w:val="002254D7"/>
    <w:rsid w:val="0023029F"/>
    <w:rsid w:val="00231281"/>
    <w:rsid w:val="0023181F"/>
    <w:rsid w:val="00231DC2"/>
    <w:rsid w:val="002333B7"/>
    <w:rsid w:val="002344F2"/>
    <w:rsid w:val="002353D3"/>
    <w:rsid w:val="002368E4"/>
    <w:rsid w:val="002414D9"/>
    <w:rsid w:val="00241832"/>
    <w:rsid w:val="0024359E"/>
    <w:rsid w:val="00243D2C"/>
    <w:rsid w:val="002449CA"/>
    <w:rsid w:val="00244D42"/>
    <w:rsid w:val="00245560"/>
    <w:rsid w:val="00246FFA"/>
    <w:rsid w:val="00247076"/>
    <w:rsid w:val="002474FB"/>
    <w:rsid w:val="00251C1B"/>
    <w:rsid w:val="002529E1"/>
    <w:rsid w:val="00252B94"/>
    <w:rsid w:val="00255E19"/>
    <w:rsid w:val="002563B4"/>
    <w:rsid w:val="00256C2E"/>
    <w:rsid w:val="00257233"/>
    <w:rsid w:val="00260716"/>
    <w:rsid w:val="002607AA"/>
    <w:rsid w:val="0026193E"/>
    <w:rsid w:val="00261A9C"/>
    <w:rsid w:val="00262518"/>
    <w:rsid w:val="002628AF"/>
    <w:rsid w:val="00262C9D"/>
    <w:rsid w:val="00263CA7"/>
    <w:rsid w:val="00265433"/>
    <w:rsid w:val="00265C44"/>
    <w:rsid w:val="002671E3"/>
    <w:rsid w:val="0026731F"/>
    <w:rsid w:val="00270A1C"/>
    <w:rsid w:val="002710C6"/>
    <w:rsid w:val="00271ED8"/>
    <w:rsid w:val="00271FEE"/>
    <w:rsid w:val="00272572"/>
    <w:rsid w:val="002730ED"/>
    <w:rsid w:val="002732B6"/>
    <w:rsid w:val="0027346E"/>
    <w:rsid w:val="0027451C"/>
    <w:rsid w:val="00274B00"/>
    <w:rsid w:val="00275021"/>
    <w:rsid w:val="002754A9"/>
    <w:rsid w:val="00275BC1"/>
    <w:rsid w:val="0027635A"/>
    <w:rsid w:val="00280857"/>
    <w:rsid w:val="00280C99"/>
    <w:rsid w:val="002814D6"/>
    <w:rsid w:val="00281718"/>
    <w:rsid w:val="00281A52"/>
    <w:rsid w:val="00281B15"/>
    <w:rsid w:val="0028219B"/>
    <w:rsid w:val="00282A10"/>
    <w:rsid w:val="002844B2"/>
    <w:rsid w:val="00284AE8"/>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24A3"/>
    <w:rsid w:val="002B2BBC"/>
    <w:rsid w:val="002B351B"/>
    <w:rsid w:val="002B3C45"/>
    <w:rsid w:val="002B3C48"/>
    <w:rsid w:val="002B434C"/>
    <w:rsid w:val="002B446A"/>
    <w:rsid w:val="002B4F1D"/>
    <w:rsid w:val="002B67DD"/>
    <w:rsid w:val="002B7014"/>
    <w:rsid w:val="002B77B2"/>
    <w:rsid w:val="002C0864"/>
    <w:rsid w:val="002C0F12"/>
    <w:rsid w:val="002C22F5"/>
    <w:rsid w:val="002C4649"/>
    <w:rsid w:val="002C5377"/>
    <w:rsid w:val="002C5F90"/>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2B69"/>
    <w:rsid w:val="002E361D"/>
    <w:rsid w:val="002E41F8"/>
    <w:rsid w:val="002E7525"/>
    <w:rsid w:val="002E7663"/>
    <w:rsid w:val="002E7C9E"/>
    <w:rsid w:val="002F01CA"/>
    <w:rsid w:val="002F05DB"/>
    <w:rsid w:val="002F1163"/>
    <w:rsid w:val="002F18C9"/>
    <w:rsid w:val="002F2D00"/>
    <w:rsid w:val="002F3161"/>
    <w:rsid w:val="002F366A"/>
    <w:rsid w:val="002F4528"/>
    <w:rsid w:val="002F50DB"/>
    <w:rsid w:val="002F5517"/>
    <w:rsid w:val="002F7B0E"/>
    <w:rsid w:val="00300F31"/>
    <w:rsid w:val="003024EA"/>
    <w:rsid w:val="00305287"/>
    <w:rsid w:val="00305358"/>
    <w:rsid w:val="00306369"/>
    <w:rsid w:val="003063B6"/>
    <w:rsid w:val="0030650B"/>
    <w:rsid w:val="003102C7"/>
    <w:rsid w:val="00310D27"/>
    <w:rsid w:val="00311826"/>
    <w:rsid w:val="00312C1A"/>
    <w:rsid w:val="00312DD1"/>
    <w:rsid w:val="003130FA"/>
    <w:rsid w:val="00313308"/>
    <w:rsid w:val="003144CA"/>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76D"/>
    <w:rsid w:val="00333D6C"/>
    <w:rsid w:val="0033426F"/>
    <w:rsid w:val="00335B60"/>
    <w:rsid w:val="00335E3D"/>
    <w:rsid w:val="00336046"/>
    <w:rsid w:val="003402E6"/>
    <w:rsid w:val="00340AAF"/>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C23EC"/>
    <w:rsid w:val="003C3E62"/>
    <w:rsid w:val="003C4558"/>
    <w:rsid w:val="003D01E0"/>
    <w:rsid w:val="003D03EC"/>
    <w:rsid w:val="003D0EF8"/>
    <w:rsid w:val="003D1455"/>
    <w:rsid w:val="003D1D3E"/>
    <w:rsid w:val="003D2163"/>
    <w:rsid w:val="003D2840"/>
    <w:rsid w:val="003D2B72"/>
    <w:rsid w:val="003D42C7"/>
    <w:rsid w:val="003D4964"/>
    <w:rsid w:val="003D4DFE"/>
    <w:rsid w:val="003D6201"/>
    <w:rsid w:val="003D7765"/>
    <w:rsid w:val="003E000B"/>
    <w:rsid w:val="003E1518"/>
    <w:rsid w:val="003E3E67"/>
    <w:rsid w:val="003E42F6"/>
    <w:rsid w:val="003E48E7"/>
    <w:rsid w:val="003E6A00"/>
    <w:rsid w:val="003E7C95"/>
    <w:rsid w:val="003E7D68"/>
    <w:rsid w:val="003F0EA6"/>
    <w:rsid w:val="003F1437"/>
    <w:rsid w:val="003F16FC"/>
    <w:rsid w:val="003F1983"/>
    <w:rsid w:val="003F220A"/>
    <w:rsid w:val="003F2B9F"/>
    <w:rsid w:val="003F3790"/>
    <w:rsid w:val="003F448B"/>
    <w:rsid w:val="003F58F6"/>
    <w:rsid w:val="003F6316"/>
    <w:rsid w:val="00401149"/>
    <w:rsid w:val="00402720"/>
    <w:rsid w:val="00402985"/>
    <w:rsid w:val="00403BAA"/>
    <w:rsid w:val="0040454F"/>
    <w:rsid w:val="00406593"/>
    <w:rsid w:val="004069B2"/>
    <w:rsid w:val="004102DA"/>
    <w:rsid w:val="00410408"/>
    <w:rsid w:val="00412192"/>
    <w:rsid w:val="00413229"/>
    <w:rsid w:val="00414305"/>
    <w:rsid w:val="00414BA1"/>
    <w:rsid w:val="00421BC3"/>
    <w:rsid w:val="004228A3"/>
    <w:rsid w:val="004229AC"/>
    <w:rsid w:val="00422CD8"/>
    <w:rsid w:val="00423D3B"/>
    <w:rsid w:val="00424172"/>
    <w:rsid w:val="004245A3"/>
    <w:rsid w:val="00424A48"/>
    <w:rsid w:val="004251AD"/>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392"/>
    <w:rsid w:val="00446514"/>
    <w:rsid w:val="00446A9B"/>
    <w:rsid w:val="00446E8C"/>
    <w:rsid w:val="00446FED"/>
    <w:rsid w:val="00447A3F"/>
    <w:rsid w:val="0045201C"/>
    <w:rsid w:val="00452DD1"/>
    <w:rsid w:val="00452EEF"/>
    <w:rsid w:val="00453750"/>
    <w:rsid w:val="00453CD6"/>
    <w:rsid w:val="004541D5"/>
    <w:rsid w:val="00455976"/>
    <w:rsid w:val="00456668"/>
    <w:rsid w:val="00456BC4"/>
    <w:rsid w:val="00457B85"/>
    <w:rsid w:val="00460090"/>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9FD"/>
    <w:rsid w:val="00486FEF"/>
    <w:rsid w:val="0048767D"/>
    <w:rsid w:val="0049176F"/>
    <w:rsid w:val="00492526"/>
    <w:rsid w:val="00492EA5"/>
    <w:rsid w:val="004931C8"/>
    <w:rsid w:val="00493247"/>
    <w:rsid w:val="0049511A"/>
    <w:rsid w:val="004A0053"/>
    <w:rsid w:val="004A0BD2"/>
    <w:rsid w:val="004A2687"/>
    <w:rsid w:val="004A402F"/>
    <w:rsid w:val="004A6761"/>
    <w:rsid w:val="004A7A61"/>
    <w:rsid w:val="004B0A8A"/>
    <w:rsid w:val="004B2B05"/>
    <w:rsid w:val="004B2BBA"/>
    <w:rsid w:val="004B3425"/>
    <w:rsid w:val="004B52C3"/>
    <w:rsid w:val="004B6B21"/>
    <w:rsid w:val="004B6E28"/>
    <w:rsid w:val="004B71F4"/>
    <w:rsid w:val="004B76B6"/>
    <w:rsid w:val="004B7EA1"/>
    <w:rsid w:val="004C019B"/>
    <w:rsid w:val="004C0B5E"/>
    <w:rsid w:val="004C16C3"/>
    <w:rsid w:val="004C16F8"/>
    <w:rsid w:val="004C232C"/>
    <w:rsid w:val="004C3E66"/>
    <w:rsid w:val="004C4244"/>
    <w:rsid w:val="004C63EE"/>
    <w:rsid w:val="004C69F0"/>
    <w:rsid w:val="004D05D8"/>
    <w:rsid w:val="004D1073"/>
    <w:rsid w:val="004D1EE6"/>
    <w:rsid w:val="004D238B"/>
    <w:rsid w:val="004D3182"/>
    <w:rsid w:val="004D39A3"/>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267D1"/>
    <w:rsid w:val="005312B1"/>
    <w:rsid w:val="00532D1A"/>
    <w:rsid w:val="00533E80"/>
    <w:rsid w:val="005344B3"/>
    <w:rsid w:val="00534869"/>
    <w:rsid w:val="005349D3"/>
    <w:rsid w:val="00534D4B"/>
    <w:rsid w:val="0053515E"/>
    <w:rsid w:val="005371D2"/>
    <w:rsid w:val="00537528"/>
    <w:rsid w:val="00540069"/>
    <w:rsid w:val="0054034E"/>
    <w:rsid w:val="00542ED7"/>
    <w:rsid w:val="00545A76"/>
    <w:rsid w:val="00546BC1"/>
    <w:rsid w:val="005506C7"/>
    <w:rsid w:val="00550E39"/>
    <w:rsid w:val="005514AA"/>
    <w:rsid w:val="00552460"/>
    <w:rsid w:val="0055247D"/>
    <w:rsid w:val="0055434F"/>
    <w:rsid w:val="0055500E"/>
    <w:rsid w:val="005557B3"/>
    <w:rsid w:val="00555A68"/>
    <w:rsid w:val="0055675E"/>
    <w:rsid w:val="0055689F"/>
    <w:rsid w:val="00556F21"/>
    <w:rsid w:val="005603EF"/>
    <w:rsid w:val="00561349"/>
    <w:rsid w:val="00562359"/>
    <w:rsid w:val="00562AA1"/>
    <w:rsid w:val="00562B8C"/>
    <w:rsid w:val="00562C69"/>
    <w:rsid w:val="00562DAF"/>
    <w:rsid w:val="00563198"/>
    <w:rsid w:val="0056359C"/>
    <w:rsid w:val="00564098"/>
    <w:rsid w:val="0056474E"/>
    <w:rsid w:val="005657FC"/>
    <w:rsid w:val="00565A8B"/>
    <w:rsid w:val="00565F24"/>
    <w:rsid w:val="00567054"/>
    <w:rsid w:val="00567294"/>
    <w:rsid w:val="00567A9A"/>
    <w:rsid w:val="00570240"/>
    <w:rsid w:val="00570FEC"/>
    <w:rsid w:val="005711B6"/>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5599"/>
    <w:rsid w:val="0059566C"/>
    <w:rsid w:val="00595711"/>
    <w:rsid w:val="0059585E"/>
    <w:rsid w:val="005A3156"/>
    <w:rsid w:val="005A39D9"/>
    <w:rsid w:val="005A53DF"/>
    <w:rsid w:val="005A6185"/>
    <w:rsid w:val="005B052E"/>
    <w:rsid w:val="005B0B2E"/>
    <w:rsid w:val="005B127E"/>
    <w:rsid w:val="005B1355"/>
    <w:rsid w:val="005B220B"/>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5964"/>
    <w:rsid w:val="005D680C"/>
    <w:rsid w:val="005D7833"/>
    <w:rsid w:val="005E06D3"/>
    <w:rsid w:val="005E27C0"/>
    <w:rsid w:val="005E4F1C"/>
    <w:rsid w:val="005F097D"/>
    <w:rsid w:val="005F1004"/>
    <w:rsid w:val="005F174C"/>
    <w:rsid w:val="005F1E92"/>
    <w:rsid w:val="005F1FAE"/>
    <w:rsid w:val="005F1FC2"/>
    <w:rsid w:val="005F35D0"/>
    <w:rsid w:val="005F42AD"/>
    <w:rsid w:val="005F507D"/>
    <w:rsid w:val="005F52FC"/>
    <w:rsid w:val="005F56A6"/>
    <w:rsid w:val="005F6035"/>
    <w:rsid w:val="005F6041"/>
    <w:rsid w:val="005F653A"/>
    <w:rsid w:val="005F797B"/>
    <w:rsid w:val="005F7B42"/>
    <w:rsid w:val="005F7E99"/>
    <w:rsid w:val="00600492"/>
    <w:rsid w:val="00601081"/>
    <w:rsid w:val="006012C6"/>
    <w:rsid w:val="0060145D"/>
    <w:rsid w:val="00602B8A"/>
    <w:rsid w:val="0060300C"/>
    <w:rsid w:val="00603239"/>
    <w:rsid w:val="0060473D"/>
    <w:rsid w:val="006053DC"/>
    <w:rsid w:val="00605AF2"/>
    <w:rsid w:val="00607A61"/>
    <w:rsid w:val="006127D4"/>
    <w:rsid w:val="00612C63"/>
    <w:rsid w:val="00614547"/>
    <w:rsid w:val="00614D4B"/>
    <w:rsid w:val="00616171"/>
    <w:rsid w:val="00616DFB"/>
    <w:rsid w:val="00617630"/>
    <w:rsid w:val="00617B27"/>
    <w:rsid w:val="00620346"/>
    <w:rsid w:val="0062074A"/>
    <w:rsid w:val="00622516"/>
    <w:rsid w:val="00622C68"/>
    <w:rsid w:val="00623125"/>
    <w:rsid w:val="0062321A"/>
    <w:rsid w:val="006232AB"/>
    <w:rsid w:val="006241EE"/>
    <w:rsid w:val="00624CB8"/>
    <w:rsid w:val="00624D75"/>
    <w:rsid w:val="00625C8F"/>
    <w:rsid w:val="006272CA"/>
    <w:rsid w:val="00627ACD"/>
    <w:rsid w:val="00630383"/>
    <w:rsid w:val="00630B29"/>
    <w:rsid w:val="006316B3"/>
    <w:rsid w:val="00631F99"/>
    <w:rsid w:val="00633DA7"/>
    <w:rsid w:val="00634F89"/>
    <w:rsid w:val="006357BD"/>
    <w:rsid w:val="006358DF"/>
    <w:rsid w:val="00637E61"/>
    <w:rsid w:val="006408DC"/>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19B0"/>
    <w:rsid w:val="006622E1"/>
    <w:rsid w:val="006651F5"/>
    <w:rsid w:val="0066737C"/>
    <w:rsid w:val="00670351"/>
    <w:rsid w:val="006706AA"/>
    <w:rsid w:val="006718B7"/>
    <w:rsid w:val="00672632"/>
    <w:rsid w:val="00673154"/>
    <w:rsid w:val="00673A1F"/>
    <w:rsid w:val="006746B2"/>
    <w:rsid w:val="0067540D"/>
    <w:rsid w:val="00675BE4"/>
    <w:rsid w:val="00676653"/>
    <w:rsid w:val="00676B15"/>
    <w:rsid w:val="00681B2B"/>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B6893"/>
    <w:rsid w:val="006B6E86"/>
    <w:rsid w:val="006C08A6"/>
    <w:rsid w:val="006C200E"/>
    <w:rsid w:val="006C2D21"/>
    <w:rsid w:val="006C60A2"/>
    <w:rsid w:val="006C6193"/>
    <w:rsid w:val="006C6DC4"/>
    <w:rsid w:val="006C7CC7"/>
    <w:rsid w:val="006D2426"/>
    <w:rsid w:val="006D3223"/>
    <w:rsid w:val="006D397C"/>
    <w:rsid w:val="006D4BBE"/>
    <w:rsid w:val="006D5430"/>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DE8"/>
    <w:rsid w:val="006F2252"/>
    <w:rsid w:val="006F22E0"/>
    <w:rsid w:val="006F259F"/>
    <w:rsid w:val="006F3D72"/>
    <w:rsid w:val="006F3FB1"/>
    <w:rsid w:val="006F4B94"/>
    <w:rsid w:val="006F511B"/>
    <w:rsid w:val="006F58EB"/>
    <w:rsid w:val="006F6130"/>
    <w:rsid w:val="006F6B71"/>
    <w:rsid w:val="006F6C14"/>
    <w:rsid w:val="006F6CFF"/>
    <w:rsid w:val="006F6EB8"/>
    <w:rsid w:val="006F72DD"/>
    <w:rsid w:val="006F763D"/>
    <w:rsid w:val="0070393B"/>
    <w:rsid w:val="00704BC7"/>
    <w:rsid w:val="007051AF"/>
    <w:rsid w:val="00705C15"/>
    <w:rsid w:val="00705E84"/>
    <w:rsid w:val="00705FA1"/>
    <w:rsid w:val="00707E83"/>
    <w:rsid w:val="007102B3"/>
    <w:rsid w:val="00711599"/>
    <w:rsid w:val="007116B3"/>
    <w:rsid w:val="0071183D"/>
    <w:rsid w:val="00711E45"/>
    <w:rsid w:val="00711F8D"/>
    <w:rsid w:val="00713731"/>
    <w:rsid w:val="007165BE"/>
    <w:rsid w:val="007200FA"/>
    <w:rsid w:val="00720B84"/>
    <w:rsid w:val="00721635"/>
    <w:rsid w:val="0072283C"/>
    <w:rsid w:val="00723530"/>
    <w:rsid w:val="00723976"/>
    <w:rsid w:val="007258A0"/>
    <w:rsid w:val="00725CC4"/>
    <w:rsid w:val="007266BE"/>
    <w:rsid w:val="00726958"/>
    <w:rsid w:val="00727D4D"/>
    <w:rsid w:val="00731322"/>
    <w:rsid w:val="00731E30"/>
    <w:rsid w:val="0073217A"/>
    <w:rsid w:val="00732BC3"/>
    <w:rsid w:val="00736CDD"/>
    <w:rsid w:val="00736FEF"/>
    <w:rsid w:val="00737516"/>
    <w:rsid w:val="00741230"/>
    <w:rsid w:val="00741381"/>
    <w:rsid w:val="0074310F"/>
    <w:rsid w:val="00743261"/>
    <w:rsid w:val="0074502E"/>
    <w:rsid w:val="00745C1D"/>
    <w:rsid w:val="007476C9"/>
    <w:rsid w:val="00750FBE"/>
    <w:rsid w:val="007517AB"/>
    <w:rsid w:val="007517C3"/>
    <w:rsid w:val="00751F23"/>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55F1"/>
    <w:rsid w:val="00776AD0"/>
    <w:rsid w:val="00782F79"/>
    <w:rsid w:val="007832D8"/>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0C76"/>
    <w:rsid w:val="007A2A69"/>
    <w:rsid w:val="007A34A7"/>
    <w:rsid w:val="007A3BED"/>
    <w:rsid w:val="007A5D3C"/>
    <w:rsid w:val="007A627F"/>
    <w:rsid w:val="007A6821"/>
    <w:rsid w:val="007A7F86"/>
    <w:rsid w:val="007B055F"/>
    <w:rsid w:val="007B0BAC"/>
    <w:rsid w:val="007B118F"/>
    <w:rsid w:val="007B13C6"/>
    <w:rsid w:val="007B1886"/>
    <w:rsid w:val="007B1FB5"/>
    <w:rsid w:val="007B3EE9"/>
    <w:rsid w:val="007B4B41"/>
    <w:rsid w:val="007B4BD7"/>
    <w:rsid w:val="007B6028"/>
    <w:rsid w:val="007B6343"/>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A25"/>
    <w:rsid w:val="007E0E51"/>
    <w:rsid w:val="007E0F24"/>
    <w:rsid w:val="007E17B1"/>
    <w:rsid w:val="007E242F"/>
    <w:rsid w:val="007E27C0"/>
    <w:rsid w:val="007E3C82"/>
    <w:rsid w:val="007E4716"/>
    <w:rsid w:val="007E6E32"/>
    <w:rsid w:val="007E7487"/>
    <w:rsid w:val="007E771D"/>
    <w:rsid w:val="007F1C7B"/>
    <w:rsid w:val="007F1C9E"/>
    <w:rsid w:val="007F2F81"/>
    <w:rsid w:val="007F3DA7"/>
    <w:rsid w:val="007F4203"/>
    <w:rsid w:val="007F4290"/>
    <w:rsid w:val="007F502E"/>
    <w:rsid w:val="007F5A4E"/>
    <w:rsid w:val="007F65F6"/>
    <w:rsid w:val="007F6A42"/>
    <w:rsid w:val="007F6C34"/>
    <w:rsid w:val="007F7A9A"/>
    <w:rsid w:val="008013CA"/>
    <w:rsid w:val="00801995"/>
    <w:rsid w:val="00802812"/>
    <w:rsid w:val="00802E86"/>
    <w:rsid w:val="00804E2C"/>
    <w:rsid w:val="008056CF"/>
    <w:rsid w:val="00806C7C"/>
    <w:rsid w:val="00806E35"/>
    <w:rsid w:val="0080728E"/>
    <w:rsid w:val="00810BA0"/>
    <w:rsid w:val="0081116F"/>
    <w:rsid w:val="00811CC1"/>
    <w:rsid w:val="00811DC7"/>
    <w:rsid w:val="00812EF1"/>
    <w:rsid w:val="00814945"/>
    <w:rsid w:val="00814985"/>
    <w:rsid w:val="008155A0"/>
    <w:rsid w:val="008160BF"/>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F40"/>
    <w:rsid w:val="00845019"/>
    <w:rsid w:val="008505B6"/>
    <w:rsid w:val="00850AD1"/>
    <w:rsid w:val="00851A3E"/>
    <w:rsid w:val="00852259"/>
    <w:rsid w:val="008529ED"/>
    <w:rsid w:val="00853419"/>
    <w:rsid w:val="00853E87"/>
    <w:rsid w:val="00855CBD"/>
    <w:rsid w:val="0085666A"/>
    <w:rsid w:val="00856F99"/>
    <w:rsid w:val="00857625"/>
    <w:rsid w:val="00857E3C"/>
    <w:rsid w:val="008601FB"/>
    <w:rsid w:val="00860FE6"/>
    <w:rsid w:val="00863405"/>
    <w:rsid w:val="008636BD"/>
    <w:rsid w:val="008640D5"/>
    <w:rsid w:val="00864683"/>
    <w:rsid w:val="00864D17"/>
    <w:rsid w:val="0086572D"/>
    <w:rsid w:val="008719DB"/>
    <w:rsid w:val="00872250"/>
    <w:rsid w:val="008731B8"/>
    <w:rsid w:val="0087381D"/>
    <w:rsid w:val="00873D16"/>
    <w:rsid w:val="00875049"/>
    <w:rsid w:val="00875CB9"/>
    <w:rsid w:val="00875F0E"/>
    <w:rsid w:val="0087752A"/>
    <w:rsid w:val="00880F6C"/>
    <w:rsid w:val="008855E2"/>
    <w:rsid w:val="00885AAD"/>
    <w:rsid w:val="00886521"/>
    <w:rsid w:val="00886636"/>
    <w:rsid w:val="00886648"/>
    <w:rsid w:val="00887886"/>
    <w:rsid w:val="00887A8F"/>
    <w:rsid w:val="008936F1"/>
    <w:rsid w:val="008937A3"/>
    <w:rsid w:val="008943A1"/>
    <w:rsid w:val="0089447A"/>
    <w:rsid w:val="00894705"/>
    <w:rsid w:val="0089509A"/>
    <w:rsid w:val="00895C60"/>
    <w:rsid w:val="008A196C"/>
    <w:rsid w:val="008A1E93"/>
    <w:rsid w:val="008A2A33"/>
    <w:rsid w:val="008A3451"/>
    <w:rsid w:val="008A4FE1"/>
    <w:rsid w:val="008A5E28"/>
    <w:rsid w:val="008A6369"/>
    <w:rsid w:val="008A64DE"/>
    <w:rsid w:val="008A798C"/>
    <w:rsid w:val="008B148B"/>
    <w:rsid w:val="008B3CA8"/>
    <w:rsid w:val="008B4198"/>
    <w:rsid w:val="008B4609"/>
    <w:rsid w:val="008B50B6"/>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246F"/>
    <w:rsid w:val="008D2A6F"/>
    <w:rsid w:val="008D32BF"/>
    <w:rsid w:val="008D3A05"/>
    <w:rsid w:val="008D5390"/>
    <w:rsid w:val="008D681A"/>
    <w:rsid w:val="008D6B1A"/>
    <w:rsid w:val="008D6D38"/>
    <w:rsid w:val="008D7383"/>
    <w:rsid w:val="008D789C"/>
    <w:rsid w:val="008E0617"/>
    <w:rsid w:val="008E0C64"/>
    <w:rsid w:val="008E0E13"/>
    <w:rsid w:val="008E1801"/>
    <w:rsid w:val="008E4B64"/>
    <w:rsid w:val="008E5313"/>
    <w:rsid w:val="008E5B71"/>
    <w:rsid w:val="008E646E"/>
    <w:rsid w:val="008E705E"/>
    <w:rsid w:val="008F023F"/>
    <w:rsid w:val="008F046B"/>
    <w:rsid w:val="008F0C94"/>
    <w:rsid w:val="008F183C"/>
    <w:rsid w:val="008F229E"/>
    <w:rsid w:val="008F2453"/>
    <w:rsid w:val="008F252E"/>
    <w:rsid w:val="008F34E9"/>
    <w:rsid w:val="008F6F3A"/>
    <w:rsid w:val="00901D0C"/>
    <w:rsid w:val="00902740"/>
    <w:rsid w:val="00902833"/>
    <w:rsid w:val="00902C4E"/>
    <w:rsid w:val="009032D6"/>
    <w:rsid w:val="009039E2"/>
    <w:rsid w:val="00905D5B"/>
    <w:rsid w:val="00906BB5"/>
    <w:rsid w:val="0091196A"/>
    <w:rsid w:val="00911DC9"/>
    <w:rsid w:val="009123FF"/>
    <w:rsid w:val="00912D8F"/>
    <w:rsid w:val="009131E1"/>
    <w:rsid w:val="009153E4"/>
    <w:rsid w:val="009158E1"/>
    <w:rsid w:val="00915BDB"/>
    <w:rsid w:val="009164CD"/>
    <w:rsid w:val="00917271"/>
    <w:rsid w:val="00922A9F"/>
    <w:rsid w:val="00923EDA"/>
    <w:rsid w:val="00925478"/>
    <w:rsid w:val="009256F4"/>
    <w:rsid w:val="009259D8"/>
    <w:rsid w:val="00925A8F"/>
    <w:rsid w:val="00925D8E"/>
    <w:rsid w:val="009269F5"/>
    <w:rsid w:val="00930CAD"/>
    <w:rsid w:val="00931BE7"/>
    <w:rsid w:val="00932517"/>
    <w:rsid w:val="00932E90"/>
    <w:rsid w:val="0093324D"/>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DF7"/>
    <w:rsid w:val="00996E62"/>
    <w:rsid w:val="00997875"/>
    <w:rsid w:val="00997D39"/>
    <w:rsid w:val="00997FD5"/>
    <w:rsid w:val="009A11F6"/>
    <w:rsid w:val="009A1B59"/>
    <w:rsid w:val="009A1CA8"/>
    <w:rsid w:val="009A2CA9"/>
    <w:rsid w:val="009A3428"/>
    <w:rsid w:val="009A5082"/>
    <w:rsid w:val="009A559A"/>
    <w:rsid w:val="009A618E"/>
    <w:rsid w:val="009B11B9"/>
    <w:rsid w:val="009B155B"/>
    <w:rsid w:val="009B183F"/>
    <w:rsid w:val="009B1F5B"/>
    <w:rsid w:val="009B3BA9"/>
    <w:rsid w:val="009B3DB8"/>
    <w:rsid w:val="009B4769"/>
    <w:rsid w:val="009B7BA5"/>
    <w:rsid w:val="009C0634"/>
    <w:rsid w:val="009C2086"/>
    <w:rsid w:val="009C3006"/>
    <w:rsid w:val="009D159F"/>
    <w:rsid w:val="009D1912"/>
    <w:rsid w:val="009D1A92"/>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B1E"/>
    <w:rsid w:val="00A3149C"/>
    <w:rsid w:val="00A31A13"/>
    <w:rsid w:val="00A323D7"/>
    <w:rsid w:val="00A32701"/>
    <w:rsid w:val="00A330EB"/>
    <w:rsid w:val="00A334CC"/>
    <w:rsid w:val="00A36501"/>
    <w:rsid w:val="00A3732F"/>
    <w:rsid w:val="00A4192F"/>
    <w:rsid w:val="00A421DA"/>
    <w:rsid w:val="00A43646"/>
    <w:rsid w:val="00A43FAA"/>
    <w:rsid w:val="00A44BE1"/>
    <w:rsid w:val="00A4500D"/>
    <w:rsid w:val="00A473D6"/>
    <w:rsid w:val="00A512D7"/>
    <w:rsid w:val="00A51EEE"/>
    <w:rsid w:val="00A5246C"/>
    <w:rsid w:val="00A542B8"/>
    <w:rsid w:val="00A54719"/>
    <w:rsid w:val="00A602F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ECE"/>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2D48"/>
    <w:rsid w:val="00AD48D4"/>
    <w:rsid w:val="00AD4DB6"/>
    <w:rsid w:val="00AD62D8"/>
    <w:rsid w:val="00AD6E05"/>
    <w:rsid w:val="00AE017E"/>
    <w:rsid w:val="00AE0914"/>
    <w:rsid w:val="00AE1501"/>
    <w:rsid w:val="00AE49C2"/>
    <w:rsid w:val="00AE5146"/>
    <w:rsid w:val="00AE55C5"/>
    <w:rsid w:val="00AE5A4F"/>
    <w:rsid w:val="00AE7B16"/>
    <w:rsid w:val="00AF0B65"/>
    <w:rsid w:val="00AF0F18"/>
    <w:rsid w:val="00AF3DDA"/>
    <w:rsid w:val="00AF4348"/>
    <w:rsid w:val="00AF7EEF"/>
    <w:rsid w:val="00B002E0"/>
    <w:rsid w:val="00B0053F"/>
    <w:rsid w:val="00B0132A"/>
    <w:rsid w:val="00B029C1"/>
    <w:rsid w:val="00B042F9"/>
    <w:rsid w:val="00B07968"/>
    <w:rsid w:val="00B07B19"/>
    <w:rsid w:val="00B10FBA"/>
    <w:rsid w:val="00B12666"/>
    <w:rsid w:val="00B126DA"/>
    <w:rsid w:val="00B13C29"/>
    <w:rsid w:val="00B14DB6"/>
    <w:rsid w:val="00B15903"/>
    <w:rsid w:val="00B166C8"/>
    <w:rsid w:val="00B230AB"/>
    <w:rsid w:val="00B23604"/>
    <w:rsid w:val="00B236B2"/>
    <w:rsid w:val="00B2566A"/>
    <w:rsid w:val="00B25F7F"/>
    <w:rsid w:val="00B26E87"/>
    <w:rsid w:val="00B30A4F"/>
    <w:rsid w:val="00B30EB8"/>
    <w:rsid w:val="00B3226F"/>
    <w:rsid w:val="00B32EDD"/>
    <w:rsid w:val="00B33207"/>
    <w:rsid w:val="00B35581"/>
    <w:rsid w:val="00B36AFB"/>
    <w:rsid w:val="00B40753"/>
    <w:rsid w:val="00B41694"/>
    <w:rsid w:val="00B425D5"/>
    <w:rsid w:val="00B427B9"/>
    <w:rsid w:val="00B42928"/>
    <w:rsid w:val="00B43371"/>
    <w:rsid w:val="00B43C0A"/>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1448"/>
    <w:rsid w:val="00B7196F"/>
    <w:rsid w:val="00B7260C"/>
    <w:rsid w:val="00B737EC"/>
    <w:rsid w:val="00B82234"/>
    <w:rsid w:val="00B8283E"/>
    <w:rsid w:val="00B837AA"/>
    <w:rsid w:val="00B848C7"/>
    <w:rsid w:val="00B853C4"/>
    <w:rsid w:val="00B86E93"/>
    <w:rsid w:val="00B86EF4"/>
    <w:rsid w:val="00B87D03"/>
    <w:rsid w:val="00B90523"/>
    <w:rsid w:val="00B909E8"/>
    <w:rsid w:val="00B90B37"/>
    <w:rsid w:val="00B91063"/>
    <w:rsid w:val="00B91ADD"/>
    <w:rsid w:val="00B9232C"/>
    <w:rsid w:val="00B9246C"/>
    <w:rsid w:val="00B928EE"/>
    <w:rsid w:val="00B92AD5"/>
    <w:rsid w:val="00B93E17"/>
    <w:rsid w:val="00B94BA4"/>
    <w:rsid w:val="00B96B25"/>
    <w:rsid w:val="00B976E2"/>
    <w:rsid w:val="00B97DB5"/>
    <w:rsid w:val="00BA0E02"/>
    <w:rsid w:val="00BA2032"/>
    <w:rsid w:val="00BA2F68"/>
    <w:rsid w:val="00BA3806"/>
    <w:rsid w:val="00BA4762"/>
    <w:rsid w:val="00BA4BCB"/>
    <w:rsid w:val="00BA7751"/>
    <w:rsid w:val="00BB156E"/>
    <w:rsid w:val="00BB1734"/>
    <w:rsid w:val="00BB1C6A"/>
    <w:rsid w:val="00BB2186"/>
    <w:rsid w:val="00BB3ABA"/>
    <w:rsid w:val="00BB4FEC"/>
    <w:rsid w:val="00BB5D2F"/>
    <w:rsid w:val="00BB65B1"/>
    <w:rsid w:val="00BB69D5"/>
    <w:rsid w:val="00BB73A4"/>
    <w:rsid w:val="00BB73DF"/>
    <w:rsid w:val="00BC03E1"/>
    <w:rsid w:val="00BC18AD"/>
    <w:rsid w:val="00BC2983"/>
    <w:rsid w:val="00BC3757"/>
    <w:rsid w:val="00BC4593"/>
    <w:rsid w:val="00BC5961"/>
    <w:rsid w:val="00BC73DA"/>
    <w:rsid w:val="00BD05BF"/>
    <w:rsid w:val="00BD261F"/>
    <w:rsid w:val="00BD464A"/>
    <w:rsid w:val="00BD639A"/>
    <w:rsid w:val="00BD6401"/>
    <w:rsid w:val="00BD6CFB"/>
    <w:rsid w:val="00BD7898"/>
    <w:rsid w:val="00BE0CBB"/>
    <w:rsid w:val="00BE174A"/>
    <w:rsid w:val="00BE1E03"/>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F9C"/>
    <w:rsid w:val="00C0537D"/>
    <w:rsid w:val="00C07BA6"/>
    <w:rsid w:val="00C11D21"/>
    <w:rsid w:val="00C11EFC"/>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7C3F"/>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61"/>
    <w:rsid w:val="00C8086B"/>
    <w:rsid w:val="00C82D97"/>
    <w:rsid w:val="00C84D14"/>
    <w:rsid w:val="00C91D0C"/>
    <w:rsid w:val="00C9369C"/>
    <w:rsid w:val="00C93EDD"/>
    <w:rsid w:val="00C95333"/>
    <w:rsid w:val="00C953EF"/>
    <w:rsid w:val="00C953F6"/>
    <w:rsid w:val="00C957B2"/>
    <w:rsid w:val="00CA0363"/>
    <w:rsid w:val="00CA06A4"/>
    <w:rsid w:val="00CA1C28"/>
    <w:rsid w:val="00CA1C2C"/>
    <w:rsid w:val="00CA3672"/>
    <w:rsid w:val="00CA485B"/>
    <w:rsid w:val="00CA501F"/>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E0BE0"/>
    <w:rsid w:val="00CE2D1F"/>
    <w:rsid w:val="00CE31E0"/>
    <w:rsid w:val="00CE444E"/>
    <w:rsid w:val="00CE52F0"/>
    <w:rsid w:val="00CE6F1A"/>
    <w:rsid w:val="00CF0272"/>
    <w:rsid w:val="00CF18A3"/>
    <w:rsid w:val="00CF34CB"/>
    <w:rsid w:val="00CF356A"/>
    <w:rsid w:val="00CF3DA6"/>
    <w:rsid w:val="00CF44E4"/>
    <w:rsid w:val="00CF4A61"/>
    <w:rsid w:val="00CF6809"/>
    <w:rsid w:val="00D003E1"/>
    <w:rsid w:val="00D01778"/>
    <w:rsid w:val="00D01A38"/>
    <w:rsid w:val="00D029CB"/>
    <w:rsid w:val="00D04180"/>
    <w:rsid w:val="00D04274"/>
    <w:rsid w:val="00D05A8B"/>
    <w:rsid w:val="00D06659"/>
    <w:rsid w:val="00D0699D"/>
    <w:rsid w:val="00D100C3"/>
    <w:rsid w:val="00D10513"/>
    <w:rsid w:val="00D10F64"/>
    <w:rsid w:val="00D1158C"/>
    <w:rsid w:val="00D12188"/>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BCB"/>
    <w:rsid w:val="00D275C6"/>
    <w:rsid w:val="00D27639"/>
    <w:rsid w:val="00D3438E"/>
    <w:rsid w:val="00D34772"/>
    <w:rsid w:val="00D34CDC"/>
    <w:rsid w:val="00D34E8C"/>
    <w:rsid w:val="00D37938"/>
    <w:rsid w:val="00D37CC6"/>
    <w:rsid w:val="00D40E89"/>
    <w:rsid w:val="00D41A51"/>
    <w:rsid w:val="00D42DF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078"/>
    <w:rsid w:val="00D61F13"/>
    <w:rsid w:val="00D63563"/>
    <w:rsid w:val="00D650A7"/>
    <w:rsid w:val="00D65513"/>
    <w:rsid w:val="00D672D6"/>
    <w:rsid w:val="00D67D4A"/>
    <w:rsid w:val="00D7096D"/>
    <w:rsid w:val="00D70B9D"/>
    <w:rsid w:val="00D72B46"/>
    <w:rsid w:val="00D72F7B"/>
    <w:rsid w:val="00D74453"/>
    <w:rsid w:val="00D746C7"/>
    <w:rsid w:val="00D7506A"/>
    <w:rsid w:val="00D75BD9"/>
    <w:rsid w:val="00D75D2E"/>
    <w:rsid w:val="00D766D5"/>
    <w:rsid w:val="00D806A3"/>
    <w:rsid w:val="00D81232"/>
    <w:rsid w:val="00D81BAC"/>
    <w:rsid w:val="00D829CC"/>
    <w:rsid w:val="00D83149"/>
    <w:rsid w:val="00D83173"/>
    <w:rsid w:val="00D8380A"/>
    <w:rsid w:val="00D85273"/>
    <w:rsid w:val="00D85B96"/>
    <w:rsid w:val="00D90CC5"/>
    <w:rsid w:val="00D92C6A"/>
    <w:rsid w:val="00D93DC2"/>
    <w:rsid w:val="00D9573B"/>
    <w:rsid w:val="00D963A6"/>
    <w:rsid w:val="00DA12AB"/>
    <w:rsid w:val="00DA1C49"/>
    <w:rsid w:val="00DA1F90"/>
    <w:rsid w:val="00DA326B"/>
    <w:rsid w:val="00DA5CA3"/>
    <w:rsid w:val="00DA6E0F"/>
    <w:rsid w:val="00DA7023"/>
    <w:rsid w:val="00DA70A5"/>
    <w:rsid w:val="00DB3689"/>
    <w:rsid w:val="00DB3767"/>
    <w:rsid w:val="00DB39E0"/>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1B4A"/>
    <w:rsid w:val="00DE1F30"/>
    <w:rsid w:val="00DE2611"/>
    <w:rsid w:val="00DE2B3B"/>
    <w:rsid w:val="00DE2CFF"/>
    <w:rsid w:val="00DE2F3B"/>
    <w:rsid w:val="00DE3330"/>
    <w:rsid w:val="00DE5939"/>
    <w:rsid w:val="00DE7746"/>
    <w:rsid w:val="00DE7AA4"/>
    <w:rsid w:val="00DF0E32"/>
    <w:rsid w:val="00DF11E4"/>
    <w:rsid w:val="00DF1C50"/>
    <w:rsid w:val="00DF4490"/>
    <w:rsid w:val="00DF4CBC"/>
    <w:rsid w:val="00DF5370"/>
    <w:rsid w:val="00DF6D73"/>
    <w:rsid w:val="00DF7ADA"/>
    <w:rsid w:val="00E002A2"/>
    <w:rsid w:val="00E0032E"/>
    <w:rsid w:val="00E004AF"/>
    <w:rsid w:val="00E0205D"/>
    <w:rsid w:val="00E02761"/>
    <w:rsid w:val="00E02BE9"/>
    <w:rsid w:val="00E034DA"/>
    <w:rsid w:val="00E03C46"/>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07A"/>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68CA"/>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6CEF"/>
    <w:rsid w:val="00E9760C"/>
    <w:rsid w:val="00EA0385"/>
    <w:rsid w:val="00EA1B20"/>
    <w:rsid w:val="00EA3791"/>
    <w:rsid w:val="00EA4173"/>
    <w:rsid w:val="00EA4D0C"/>
    <w:rsid w:val="00EA4E53"/>
    <w:rsid w:val="00EA56DE"/>
    <w:rsid w:val="00EA6259"/>
    <w:rsid w:val="00EA63A0"/>
    <w:rsid w:val="00EA6815"/>
    <w:rsid w:val="00EA7131"/>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5A04"/>
    <w:rsid w:val="00EC5B82"/>
    <w:rsid w:val="00EC5F4D"/>
    <w:rsid w:val="00EC6292"/>
    <w:rsid w:val="00EC7980"/>
    <w:rsid w:val="00EC7D8F"/>
    <w:rsid w:val="00EC7E1A"/>
    <w:rsid w:val="00ED09F7"/>
    <w:rsid w:val="00ED0F55"/>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EF7F65"/>
    <w:rsid w:val="00F01293"/>
    <w:rsid w:val="00F012FF"/>
    <w:rsid w:val="00F015E3"/>
    <w:rsid w:val="00F01A21"/>
    <w:rsid w:val="00F046E9"/>
    <w:rsid w:val="00F04831"/>
    <w:rsid w:val="00F04C0E"/>
    <w:rsid w:val="00F058D8"/>
    <w:rsid w:val="00F06E0E"/>
    <w:rsid w:val="00F07AA2"/>
    <w:rsid w:val="00F108F2"/>
    <w:rsid w:val="00F112E4"/>
    <w:rsid w:val="00F12DA8"/>
    <w:rsid w:val="00F12F01"/>
    <w:rsid w:val="00F1322B"/>
    <w:rsid w:val="00F13699"/>
    <w:rsid w:val="00F14585"/>
    <w:rsid w:val="00F1486F"/>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38F"/>
    <w:rsid w:val="00F6079F"/>
    <w:rsid w:val="00F616AE"/>
    <w:rsid w:val="00F62A81"/>
    <w:rsid w:val="00F64537"/>
    <w:rsid w:val="00F64EA5"/>
    <w:rsid w:val="00F66173"/>
    <w:rsid w:val="00F66660"/>
    <w:rsid w:val="00F66A3D"/>
    <w:rsid w:val="00F66DF3"/>
    <w:rsid w:val="00F67AB2"/>
    <w:rsid w:val="00F67D94"/>
    <w:rsid w:val="00F67F70"/>
    <w:rsid w:val="00F70EC3"/>
    <w:rsid w:val="00F70EC4"/>
    <w:rsid w:val="00F7287A"/>
    <w:rsid w:val="00F7334D"/>
    <w:rsid w:val="00F73D21"/>
    <w:rsid w:val="00F74052"/>
    <w:rsid w:val="00F74AF8"/>
    <w:rsid w:val="00F74ED0"/>
    <w:rsid w:val="00F75B44"/>
    <w:rsid w:val="00F7648C"/>
    <w:rsid w:val="00F8012B"/>
    <w:rsid w:val="00F806EF"/>
    <w:rsid w:val="00F81303"/>
    <w:rsid w:val="00F8144C"/>
    <w:rsid w:val="00F83593"/>
    <w:rsid w:val="00F837F7"/>
    <w:rsid w:val="00F8499F"/>
    <w:rsid w:val="00F85885"/>
    <w:rsid w:val="00F87351"/>
    <w:rsid w:val="00F90E30"/>
    <w:rsid w:val="00F917E4"/>
    <w:rsid w:val="00F91B00"/>
    <w:rsid w:val="00F91B8B"/>
    <w:rsid w:val="00F92CFD"/>
    <w:rsid w:val="00F9424D"/>
    <w:rsid w:val="00F94956"/>
    <w:rsid w:val="00F94DFC"/>
    <w:rsid w:val="00F96574"/>
    <w:rsid w:val="00F96BAD"/>
    <w:rsid w:val="00F974D0"/>
    <w:rsid w:val="00F97A48"/>
    <w:rsid w:val="00FA08CA"/>
    <w:rsid w:val="00FA193F"/>
    <w:rsid w:val="00FA2EE5"/>
    <w:rsid w:val="00FA34B5"/>
    <w:rsid w:val="00FA3776"/>
    <w:rsid w:val="00FA3897"/>
    <w:rsid w:val="00FA392E"/>
    <w:rsid w:val="00FA5AD8"/>
    <w:rsid w:val="00FA729F"/>
    <w:rsid w:val="00FA75D3"/>
    <w:rsid w:val="00FB0158"/>
    <w:rsid w:val="00FB16BC"/>
    <w:rsid w:val="00FB25A0"/>
    <w:rsid w:val="00FB2D7C"/>
    <w:rsid w:val="00FB3195"/>
    <w:rsid w:val="00FB4E89"/>
    <w:rsid w:val="00FB4F37"/>
    <w:rsid w:val="00FB770C"/>
    <w:rsid w:val="00FB79F1"/>
    <w:rsid w:val="00FB7E5A"/>
    <w:rsid w:val="00FC06B4"/>
    <w:rsid w:val="00FC25AB"/>
    <w:rsid w:val="00FC3544"/>
    <w:rsid w:val="00FC6E54"/>
    <w:rsid w:val="00FC7536"/>
    <w:rsid w:val="00FD1D8D"/>
    <w:rsid w:val="00FD2E2D"/>
    <w:rsid w:val="00FD33A2"/>
    <w:rsid w:val="00FD4B7B"/>
    <w:rsid w:val="00FD6206"/>
    <w:rsid w:val="00FD62DD"/>
    <w:rsid w:val="00FD7126"/>
    <w:rsid w:val="00FE072D"/>
    <w:rsid w:val="00FE09E7"/>
    <w:rsid w:val="00FE127C"/>
    <w:rsid w:val="00FE2161"/>
    <w:rsid w:val="00FE4C69"/>
    <w:rsid w:val="00FE543B"/>
    <w:rsid w:val="00FE54F3"/>
    <w:rsid w:val="00FE5842"/>
    <w:rsid w:val="00FE58B6"/>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01BE"/>
    <w:pPr>
      <w:widowControl w:val="0"/>
      <w:spacing w:after="120" w:line="240" w:lineRule="auto"/>
      <w:jc w:val="both"/>
    </w:pPr>
    <w:rPr>
      <w:rFonts w:ascii="Times New Roman" w:eastAsiaTheme="minorEastAsia" w:hAnsi="Times New Roman"/>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7"/>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eastAsia="Malgun Gothic"/>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aliases w:val="header odd Char,header odd1 Char,header odd2 Char,header odd3 Char,header odd4 Char,header odd5 Char,header odd6 Char,header Char,header1 Char,header2 Char,header3 Char,header odd11 Char,header odd21 Char,header odd7 Char,header4 Char,h Char"/>
    <w:link w:val="ae"/>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3F99CD-D288-4848-A4AD-D858AF7F2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8932</TotalTime>
  <Pages>5</Pages>
  <Words>1920</Words>
  <Characters>10950</Characters>
  <Application>Microsoft Office Word</Application>
  <DocSecurity>0</DocSecurity>
  <Lines>91</Lines>
  <Paragraphs>25</Paragraphs>
  <ScaleCrop>false</ScaleCrop>
  <Company>ZTE</Company>
  <LinksUpToDate>false</LinksUpToDate>
  <CharactersWithSpaces>12845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816</cp:revision>
  <cp:lastPrinted>2113-01-01T00:00:00Z</cp:lastPrinted>
  <dcterms:created xsi:type="dcterms:W3CDTF">2017-09-06T12:59:00Z</dcterms:created>
  <dcterms:modified xsi:type="dcterms:W3CDTF">2021-10-22T03:56:00Z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